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70B4B055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02587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780F7A" w:rsidRPr="00284320">
        <w:rPr>
          <w:rFonts w:ascii="Times New Roman" w:eastAsia="Times New Roman" w:hAnsi="Times New Roman" w:cs="Times New Roman"/>
          <w:lang w:eastAsia="pl-PL"/>
        </w:rPr>
        <w:t>114.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7C1C1972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OSTRĄ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A92033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BIAŁACZKĘ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SZPIKOWĄ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2</w:t>
      </w:r>
      <w:r w:rsidR="009E4F27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.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0</w:t>
      </w:r>
      <w:r w:rsidR="00267FA7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6"/>
        <w:gridCol w:w="4293"/>
        <w:gridCol w:w="4293"/>
      </w:tblGrid>
      <w:tr w:rsidR="009C2DB3" w:rsidRPr="00284320" w14:paraId="6FC2E653" w14:textId="77777777" w:rsidTr="00200835">
        <w:trPr>
          <w:trHeight w:val="567"/>
        </w:trPr>
        <w:tc>
          <w:tcPr>
            <w:tcW w:w="15382" w:type="dxa"/>
            <w:gridSpan w:val="3"/>
            <w:vAlign w:val="center"/>
          </w:tcPr>
          <w:p w14:paraId="1FC1FAE5" w14:textId="35DDE8FE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200835">
        <w:trPr>
          <w:trHeight w:val="567"/>
        </w:trPr>
        <w:tc>
          <w:tcPr>
            <w:tcW w:w="6796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93" w:type="dxa"/>
            <w:vAlign w:val="center"/>
          </w:tcPr>
          <w:p w14:paraId="765CCB5B" w14:textId="1B944B25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20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0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93" w:type="dxa"/>
            <w:vAlign w:val="center"/>
          </w:tcPr>
          <w:p w14:paraId="60F25F30" w14:textId="00B6379C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200835">
        <w:trPr>
          <w:trHeight w:val="20"/>
        </w:trPr>
        <w:tc>
          <w:tcPr>
            <w:tcW w:w="6796" w:type="dxa"/>
          </w:tcPr>
          <w:p w14:paraId="0589384D" w14:textId="0026919D" w:rsidR="00890119" w:rsidRPr="001C261A" w:rsidRDefault="00E523E7" w:rsidP="001C261A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05098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05098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05098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lekowego</w:t>
            </w:r>
            <w:r w:rsidR="008C59CE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zgodnie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ze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wskazanymi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opisie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warunkami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kryteriami</w:t>
            </w:r>
            <w:r w:rsidR="00CB550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C7939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udostępnia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C7939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się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B550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poniższe</w:t>
            </w:r>
            <w:r w:rsidR="00025874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B5507" w:rsidRPr="001C26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terapie:</w:t>
            </w:r>
          </w:p>
          <w:p w14:paraId="2EE24963" w14:textId="5357D275" w:rsidR="006C0C20" w:rsidRPr="00C10F34" w:rsidRDefault="00AC7939" w:rsidP="001C261A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8C59CE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ostrej białaczki szpikowej:</w:t>
            </w:r>
          </w:p>
          <w:p w14:paraId="0A960CB3" w14:textId="57A87E42" w:rsidR="00AC7939" w:rsidRPr="00C10F34" w:rsidRDefault="00AC7939" w:rsidP="001C261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midostauryną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daun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rubicyną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(pacjenci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mutacją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  <w:r w:rsidR="006C0C2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7B4D4FB" w14:textId="7ECC9C53" w:rsidR="006C0C20" w:rsidRPr="00C10F34" w:rsidRDefault="0046650A" w:rsidP="001C261A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514A1FD4" w14:textId="6577AFCE" w:rsidR="00AC7939" w:rsidRPr="00C10F34" w:rsidRDefault="00AC7939" w:rsidP="001C261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cytarabin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(bez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względu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status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mutacji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FLT3)</w:t>
            </w:r>
            <w:r w:rsidR="006C0C2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521A3116" w14:textId="79DDE93F" w:rsidR="006C0C20" w:rsidRPr="00C10F34" w:rsidRDefault="0046650A" w:rsidP="001C261A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4FC42457" w14:textId="04EFB7DF" w:rsidR="00890119" w:rsidRPr="00C10F34" w:rsidRDefault="00632518" w:rsidP="001C261A">
            <w:pPr>
              <w:pStyle w:val="Akapitzlist"/>
              <w:numPr>
                <w:ilvl w:val="4"/>
                <w:numId w:val="6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leczenie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wenetoklaksem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8C59CE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azacytydyną</w:t>
            </w:r>
            <w:r w:rsidR="00135B5F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(bez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względu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status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mutacji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FLT3)</w:t>
            </w:r>
            <w:r w:rsidR="005E4DFF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;</w:t>
            </w:r>
          </w:p>
          <w:p w14:paraId="68C9942A" w14:textId="1BE7B903" w:rsidR="008C59CE" w:rsidRPr="00C10F34" w:rsidRDefault="008C59CE" w:rsidP="001C261A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 leczeniu podtrzymującym po terapii indukującej </w:t>
            </w:r>
            <w:r w:rsidR="002761A0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albo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indukującej i konsolidującej u chorych </w:t>
            </w:r>
            <w:r w:rsidR="001D5B0C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ostrą białaczk</w:t>
            </w:r>
            <w:r w:rsidR="001D5B0C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ę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szpikową:</w:t>
            </w:r>
          </w:p>
          <w:p w14:paraId="40A3C4C6" w14:textId="7158EAD4" w:rsidR="008C59CE" w:rsidRPr="00C10F34" w:rsidRDefault="008C59CE" w:rsidP="001C261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leczenie azacytydyną doustną w monoterapii;</w:t>
            </w:r>
          </w:p>
          <w:p w14:paraId="3A574D2B" w14:textId="43E0C6CD" w:rsidR="00AC7939" w:rsidRPr="00C10F34" w:rsidRDefault="00AC7939" w:rsidP="001C261A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kolejnych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liniach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8C59CE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ostrej białaczki szpikowej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514B79B0" w14:textId="6D74E3AF" w:rsidR="00CC1C62" w:rsidRPr="00C10F34" w:rsidRDefault="00546572" w:rsidP="001C261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gilterytynibem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(pacjenci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mutacją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FLT3)</w:t>
            </w:r>
            <w:r w:rsidR="006C0C20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46670DAB" w14:textId="77777777" w:rsidR="006C0C20" w:rsidRPr="00C10F34" w:rsidRDefault="006C0C20" w:rsidP="00C10F34">
            <w:pPr>
              <w:pStyle w:val="Akapitzlist"/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3576F5" w:rsidR="001B2161" w:rsidRPr="00C10F34" w:rsidRDefault="00CC1C62" w:rsidP="001C26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48A8D81B" w:rsidR="00105681" w:rsidRDefault="00890119" w:rsidP="001C26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(1.2.)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025874"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C2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2008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2504EA9A" w14:textId="77777777" w:rsidR="00200835" w:rsidRPr="001C261A" w:rsidRDefault="00200835" w:rsidP="001C26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19955CDF" w14:textId="529DA842" w:rsidR="001D15F3" w:rsidRPr="00C10F34" w:rsidRDefault="00481ACF" w:rsidP="001C261A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311B6B11" w14:textId="325A88A8" w:rsidR="001D15F3" w:rsidRPr="00C10F34" w:rsidRDefault="001D15F3" w:rsidP="001C261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C10F3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C10F34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C10F34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C10F34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terystyką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537ABCA8" w:rsidR="001D15F3" w:rsidRPr="00C10F34" w:rsidRDefault="001D15F3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40D6A"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DA3445" w14:textId="2400125B" w:rsidR="00390885" w:rsidRPr="00C10F34" w:rsidRDefault="00390885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ECOG: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0-2,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wynika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0641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przed rozpoczęciem leczenia I linii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84A06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azacytydyną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4A06" w:rsidRPr="00C10F3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1.2.3.4</w:t>
            </w:r>
            <w:r w:rsidR="00E53428" w:rsidRPr="00C10F34">
              <w:rPr>
                <w:rFonts w:ascii="Times New Roman" w:hAnsi="Times New Roman" w:cs="Times New Roman"/>
                <w:sz w:val="20"/>
                <w:szCs w:val="20"/>
              </w:rPr>
              <w:t>.b</w:t>
            </w:r>
            <w:r w:rsidR="0018723E" w:rsidRPr="00C10F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84A06"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03EAB106" w:rsidR="001D15F3" w:rsidRPr="00C10F34" w:rsidRDefault="001D15F3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67BC1F28" w:rsidR="008A1C09" w:rsidRPr="00C10F34" w:rsidRDefault="008A1C09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stosowanie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skutecznych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metod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zapobiegania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ciąży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trakcie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oraz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zakończeniu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informacjami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zawartymi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11D88" w:rsidRPr="00C10F34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632518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44D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Charakterystyce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044D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044D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8066614" w14:textId="5F398651" w:rsidR="008A1C09" w:rsidRPr="00C10F34" w:rsidRDefault="001D15F3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73699D32" w14:textId="2762B425" w:rsidR="008A1C09" w:rsidRPr="00C10F34" w:rsidRDefault="008A1C09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brak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zdiagnozowanej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ostr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białaczk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promielocytow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ej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15C3253E" w14:textId="35DB7985" w:rsidR="008A1C09" w:rsidRPr="00C10F34" w:rsidRDefault="00481ACF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04A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stotnych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</w:t>
            </w:r>
            <w:r w:rsidR="00B7400E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skazanie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odpowiednie</w:t>
            </w:r>
            <w:r w:rsidR="00011D88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</w:t>
            </w:r>
            <w:r w:rsidR="00011D88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</w:t>
            </w:r>
            <w:r w:rsidR="00011D88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C10F34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44D" w:rsidRPr="00C10F34">
              <w:rPr>
                <w:rFonts w:ascii="Times New Roman" w:hAnsi="Times New Roman" w:cs="Times New Roman"/>
                <w:sz w:val="20"/>
                <w:szCs w:val="20"/>
              </w:rPr>
              <w:t>ekspertów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44D" w:rsidRPr="00C10F3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44D" w:rsidRPr="00C10F34">
              <w:rPr>
                <w:rFonts w:ascii="Times New Roman" w:hAnsi="Times New Roman" w:cs="Times New Roman"/>
                <w:sz w:val="20"/>
                <w:szCs w:val="20"/>
              </w:rPr>
              <w:t>LeukemiaNet</w:t>
            </w:r>
            <w:r w:rsidR="001004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D06A421" w14:textId="02F32441" w:rsidR="00481ACF" w:rsidRPr="00C10F34" w:rsidRDefault="00481ACF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5FDFB7CD" w14:textId="77777777" w:rsidR="00481ACF" w:rsidRPr="00C10F34" w:rsidRDefault="00481ACF" w:rsidP="00C10F34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7F5FDE4C" w:rsidR="00890119" w:rsidRPr="00C10F34" w:rsidRDefault="00890119" w:rsidP="001C261A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</w:p>
          <w:p w14:paraId="4221B845" w14:textId="6CC39B79" w:rsidR="00ED3875" w:rsidRPr="00C10F34" w:rsidRDefault="001F691A" w:rsidP="001C261A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midostauryną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</w:p>
          <w:p w14:paraId="7DF0A5F5" w14:textId="19C2F68F" w:rsidR="008C151D" w:rsidRPr="00C10F34" w:rsidRDefault="008C151D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6EBC1741" w14:textId="4BB55ED0" w:rsidR="008C151D" w:rsidRPr="00C10F34" w:rsidRDefault="008C151D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nowo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rozpoznana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szpikowa;</w:t>
            </w:r>
          </w:p>
          <w:p w14:paraId="18CF7AA2" w14:textId="0896C07C" w:rsidR="00E9387D" w:rsidRPr="00C10F34" w:rsidRDefault="00ED3875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genu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FLT3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(wewnątrztandemowej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duplikacji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[ITD]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obrębie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domeny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kinazy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tyrozynowej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[TKD]);</w:t>
            </w:r>
          </w:p>
          <w:p w14:paraId="5A6DBECA" w14:textId="3B0C247A" w:rsidR="00DA2F86" w:rsidRPr="00C10F34" w:rsidRDefault="00ED3875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723E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intensywnej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indukującej</w:t>
            </w:r>
            <w:r w:rsidR="00D82CA1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6B413E21" w14:textId="77777777" w:rsidR="001F691A" w:rsidRPr="00C10F34" w:rsidRDefault="001F691A" w:rsidP="00C10F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3603E74" w14:textId="26FBAEDB" w:rsidR="00546572" w:rsidRPr="00C10F34" w:rsidRDefault="001F691A" w:rsidP="001C261A">
            <w:pPr>
              <w:pStyle w:val="Akapitzlist"/>
              <w:numPr>
                <w:ilvl w:val="2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</w:p>
          <w:p w14:paraId="52C416E0" w14:textId="4D66EC7F" w:rsidR="002E2BA7" w:rsidRPr="00C10F34" w:rsidRDefault="002E2BA7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5AA86376" w14:textId="7AC5CA29" w:rsidR="00B25DD6" w:rsidRPr="00C10F34" w:rsidRDefault="00B25DD6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nowo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rozpoznana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ostra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białaczka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szpikowa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występująca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de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novo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ekspresją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antygenu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CD33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komórkach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blastycznych;</w:t>
            </w:r>
          </w:p>
          <w:p w14:paraId="4862DDF0" w14:textId="47CF4D74" w:rsidR="0041288D" w:rsidRPr="00C10F34" w:rsidRDefault="0041288D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brak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wcześniejszego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ostrej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białaczki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szpikowej;</w:t>
            </w:r>
          </w:p>
          <w:p w14:paraId="7F427247" w14:textId="1D79080D" w:rsidR="002E2BA7" w:rsidRPr="00C10F34" w:rsidRDefault="00B25DD6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intensywnej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indukującej;</w:t>
            </w:r>
          </w:p>
          <w:p w14:paraId="1A5C26AA" w14:textId="47D07F8C" w:rsidR="0041288D" w:rsidRPr="00C10F34" w:rsidRDefault="00B25DD6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potwierdzone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cytogenetycznie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korzystne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pośrednie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czynniki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rokownicze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(dopuszczalne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włączenie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indukującej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niemożliwym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oceny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</w:t>
            </w:r>
            <w:r w:rsidR="00D82CA1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kiem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cytogenetycznym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wynikającym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złej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jakości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materiału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diagnostycznego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tj.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45FC9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podziałów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komórkowych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warunkiem,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że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molekularnych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wykluczono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niekorzystn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czynnik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rokownicz</w:t>
            </w:r>
            <w:r w:rsidR="004968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ych</w:t>
            </w:r>
            <w:r w:rsidR="004B35BF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984A06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C34708C" w14:textId="57442639" w:rsidR="001D15F3" w:rsidRPr="00C10F34" w:rsidRDefault="001D15F3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zdiagnozowanej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szpikow</w:t>
            </w:r>
            <w:r w:rsidR="007A6D9A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wtórnej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(po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zespole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mielodysplastycznym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[MDS;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ang.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myelodysplastic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syndrom]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zespołach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mieloproliferacyjnych)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6D9A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szpikowej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zależnej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chemio-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radioterapii.</w:t>
            </w:r>
          </w:p>
          <w:p w14:paraId="3F2AA192" w14:textId="77777777" w:rsidR="001F691A" w:rsidRPr="00C10F34" w:rsidRDefault="001F691A" w:rsidP="00C10F34">
            <w:pPr>
              <w:ind w:left="22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0A492A3" w14:textId="35F10A3B" w:rsidR="006617A9" w:rsidRPr="00C10F34" w:rsidRDefault="001F691A" w:rsidP="001C261A">
            <w:pPr>
              <w:pStyle w:val="Akapitzlist"/>
              <w:numPr>
                <w:ilvl w:val="2"/>
                <w:numId w:val="7"/>
              </w:numPr>
              <w:contextualSpacing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wenetoklaksem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2518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azacytydyną</w:t>
            </w:r>
          </w:p>
          <w:p w14:paraId="716E4BB3" w14:textId="0BC68B16" w:rsidR="008C151D" w:rsidRPr="00C10F34" w:rsidRDefault="008C151D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519D7703" w14:textId="77BA7AFA" w:rsidR="007D754A" w:rsidRPr="00C10F34" w:rsidRDefault="008C151D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nowo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rozpoznana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ostra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białaczka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szpikowa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występująca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de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novo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wtórna,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zdiagnozowana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oparciu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obowiązujące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kryteria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WHO;</w:t>
            </w:r>
          </w:p>
          <w:p w14:paraId="50FBF2C6" w14:textId="69442396" w:rsidR="007D754A" w:rsidRPr="00C10F34" w:rsidRDefault="008C151D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brak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wcześniejszego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ostrej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białaczki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szpikowej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(za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wyjątkiem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cytoredukcyjnego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przygotowującego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pacjenta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wenetoklaksem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azacytydyną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);</w:t>
            </w:r>
          </w:p>
          <w:p w14:paraId="02337790" w14:textId="3E2B0CF9" w:rsidR="008C151D" w:rsidRPr="00C10F34" w:rsidRDefault="008C151D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niekwalifikowanie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się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F36AE2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standardowej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F36AE2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intensywnej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F36AE2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chemioterapii,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F36AE2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definiowane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F36AE2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jako:</w:t>
            </w:r>
          </w:p>
          <w:p w14:paraId="217A24FD" w14:textId="7D4609D1" w:rsidR="00F36AE2" w:rsidRPr="00C10F34" w:rsidRDefault="00F36AE2" w:rsidP="001C261A">
            <w:pPr>
              <w:pStyle w:val="Akapitzlist"/>
              <w:numPr>
                <w:ilvl w:val="4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wiek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75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lat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powyżej,</w:t>
            </w:r>
          </w:p>
          <w:p w14:paraId="08769038" w14:textId="3C8E6BC3" w:rsidR="00F36AE2" w:rsidRPr="00C10F34" w:rsidRDefault="00F36AE2" w:rsidP="001C261A">
            <w:pPr>
              <w:pStyle w:val="Akapitzlist"/>
              <w:tabs>
                <w:tab w:val="left" w:pos="708"/>
              </w:tabs>
              <w:ind w:left="454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lub</w:t>
            </w:r>
          </w:p>
          <w:p w14:paraId="352FA753" w14:textId="2064BF15" w:rsidR="00F36AE2" w:rsidRPr="00C10F34" w:rsidRDefault="00F36AE2" w:rsidP="001C261A">
            <w:pPr>
              <w:pStyle w:val="Akapitzlist"/>
              <w:numPr>
                <w:ilvl w:val="4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wiek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18-74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lat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obecność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najmniej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jednego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czynnika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wymienionego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poniżej:</w:t>
            </w:r>
          </w:p>
          <w:p w14:paraId="4C4CE326" w14:textId="534088F7" w:rsidR="00F36AE2" w:rsidRPr="00C10F34" w:rsidRDefault="00F36AE2" w:rsidP="001C261A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lastRenderedPageBreak/>
              <w:t>ECOG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3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(jeśli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ECOG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wynika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obecności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chorób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współistniejących)</w:t>
            </w:r>
            <w:r w:rsidR="006D61C9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,</w:t>
            </w:r>
          </w:p>
          <w:p w14:paraId="57AAE842" w14:textId="05ABE82B" w:rsidR="00F36AE2" w:rsidRPr="00C10F34" w:rsidRDefault="00F36AE2" w:rsidP="001C261A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zastoinowa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niewydolność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serca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wymagająca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frakcja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wyrzutowa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≤50%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przewlekła,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stabilna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dławica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piersiowa,</w:t>
            </w:r>
          </w:p>
          <w:p w14:paraId="1328506A" w14:textId="3E672B1A" w:rsidR="00F36AE2" w:rsidRPr="00C10F34" w:rsidRDefault="00F36AE2" w:rsidP="001C261A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zdolność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dyfuzji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gazów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płucach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-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DLCO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65%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pierwszosekundowa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natężona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pojemność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wydechowa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-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FEV1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65%,</w:t>
            </w:r>
          </w:p>
          <w:p w14:paraId="052D8C03" w14:textId="34A104F4" w:rsidR="00F36AE2" w:rsidRPr="00C10F34" w:rsidRDefault="00F36AE2" w:rsidP="001C261A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klire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ns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kreatyniny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≥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30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ml/min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&lt;45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ml/min</w:t>
            </w:r>
            <w:r w:rsidR="00CA4A78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,</w:t>
            </w:r>
          </w:p>
          <w:p w14:paraId="3927054E" w14:textId="3340E59D" w:rsidR="00F36AE2" w:rsidRPr="00C10F34" w:rsidRDefault="00F36AE2" w:rsidP="001C261A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umiarkowane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zaburzenia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czynności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wątroby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ze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stężeniem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bilirubiny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&gt;1,5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≤3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ULN,</w:t>
            </w:r>
          </w:p>
          <w:p w14:paraId="3A3E2AB5" w14:textId="71378BB4" w:rsidR="008A1C09" w:rsidRPr="00C10F34" w:rsidRDefault="00F36AE2" w:rsidP="001C261A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jakiekolwiek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inne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schorzenie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uniemożliwiające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zastosowanie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intensywnej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chemioterapii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dające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skali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indeksu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chorób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współistniejących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(HCT-</w:t>
            </w:r>
            <w:r w:rsidR="009F40D9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CI)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≥3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punktów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skali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oceny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podstawowych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czynności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życia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codziennego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(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ADL)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&lt;6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punktów</w:t>
            </w:r>
            <w:r w:rsidR="006D61C9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  <w:p w14:paraId="73418362" w14:textId="57D63FC0" w:rsidR="001F691A" w:rsidRPr="00C10F34" w:rsidRDefault="001F691A" w:rsidP="00C10F34">
            <w:pPr>
              <w:tabs>
                <w:tab w:val="left" w:pos="708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  <w:p w14:paraId="51589672" w14:textId="0509CD1A" w:rsidR="00632518" w:rsidRPr="00C10F34" w:rsidRDefault="0047106A" w:rsidP="001C261A">
            <w:pPr>
              <w:pStyle w:val="Akapitzlist"/>
              <w:numPr>
                <w:ilvl w:val="2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bidi="en-US"/>
              </w:rPr>
              <w:t>a</w:t>
            </w:r>
            <w:r w:rsidR="00632518" w:rsidRPr="00C10F34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bidi="en-US"/>
              </w:rPr>
              <w:t>zacytydyną doustną w monoterapii</w:t>
            </w:r>
          </w:p>
          <w:p w14:paraId="0544A4CC" w14:textId="5069CEF0" w:rsidR="00632518" w:rsidRPr="00C10F34" w:rsidRDefault="0047106A" w:rsidP="001C261A">
            <w:pPr>
              <w:pStyle w:val="Akapitzlist"/>
              <w:numPr>
                <w:ilvl w:val="3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</w:t>
            </w:r>
            <w:r w:rsidR="00632518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iek 18 lat i powyżej;</w:t>
            </w:r>
          </w:p>
          <w:p w14:paraId="2AD9D55C" w14:textId="6FB1B9F6" w:rsidR="00632518" w:rsidRPr="00C10F34" w:rsidRDefault="00632518" w:rsidP="001C261A">
            <w:pPr>
              <w:pStyle w:val="Akapitzlist"/>
              <w:numPr>
                <w:ilvl w:val="3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ostra białaczka szpikowa w </w:t>
            </w:r>
            <w:r w:rsidR="000B42BB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potwierdzonej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pierwszej całkowitej remisji lub </w:t>
            </w:r>
            <w:r w:rsidR="000B42BB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potwierdzonej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remisji z niepełną regeneracją morfologii krwi po chemioterapii indukującej </w:t>
            </w:r>
            <w:r w:rsidR="001D5B0C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albo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indukującej i konsolidującej</w:t>
            </w:r>
            <w:r w:rsidR="0047106A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;</w:t>
            </w:r>
          </w:p>
          <w:p w14:paraId="58EAD94A" w14:textId="4BB452D2" w:rsidR="0047106A" w:rsidRPr="00C10F34" w:rsidRDefault="0047106A" w:rsidP="001C261A">
            <w:pPr>
              <w:pStyle w:val="Akapitzlist"/>
              <w:numPr>
                <w:ilvl w:val="3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niekwalifikowanie się pacjenta do przeszczepienia macierzystych komórek krwiotwórczych lub brak zgody pacjenta na taką procedurę.</w:t>
            </w:r>
          </w:p>
          <w:p w14:paraId="5FDA147C" w14:textId="77777777" w:rsidR="0047106A" w:rsidRPr="00C10F34" w:rsidRDefault="0047106A" w:rsidP="00C10F34">
            <w:pPr>
              <w:pStyle w:val="Akapitzlist"/>
              <w:tabs>
                <w:tab w:val="left" w:pos="708"/>
              </w:tabs>
              <w:ind w:left="454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  <w:p w14:paraId="5BBE491F" w14:textId="57600288" w:rsidR="005A2520" w:rsidRPr="00C10F34" w:rsidRDefault="001F691A" w:rsidP="001C261A">
            <w:pPr>
              <w:pStyle w:val="Akapitzlist"/>
              <w:numPr>
                <w:ilvl w:val="2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gilterytynibem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</w:p>
          <w:p w14:paraId="40635382" w14:textId="46ECC3F7" w:rsidR="006617A9" w:rsidRPr="00C10F34" w:rsidRDefault="006617A9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15677619" w14:textId="6EFAC8EC" w:rsidR="008A0E5D" w:rsidRPr="00C10F34" w:rsidRDefault="008A0E5D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szpikowa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stwierdzoną</w:t>
            </w:r>
            <w:r w:rsidR="009E3B29" w:rsidRPr="00C10F3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B7522BE" w14:textId="0159286B" w:rsidR="008A0E5D" w:rsidRPr="00C10F34" w:rsidRDefault="008A0E5D" w:rsidP="001C261A">
            <w:pPr>
              <w:pStyle w:val="Akapitzlist"/>
              <w:numPr>
                <w:ilvl w:val="4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opornością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(brak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niepełną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regeneracją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hematologiczną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jednym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indukującej),</w:t>
            </w:r>
          </w:p>
          <w:p w14:paraId="1DB747D7" w14:textId="5BD89999" w:rsidR="008A0E5D" w:rsidRPr="00C10F34" w:rsidRDefault="008A0E5D" w:rsidP="00B962A0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F895B99" w14:textId="22EE41E8" w:rsidR="008A0E5D" w:rsidRPr="00C10F34" w:rsidRDefault="008A0E5D" w:rsidP="001C261A">
            <w:pPr>
              <w:pStyle w:val="Akapitzlist"/>
              <w:numPr>
                <w:ilvl w:val="4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nawrotem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hAnsi="Times New Roman" w:cs="Times New Roman"/>
                <w:sz w:val="20"/>
                <w:szCs w:val="20"/>
              </w:rPr>
              <w:t>szpikowej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wymagane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potwierdzenie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684D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nawrocie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obecności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mutacji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tj.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-ITD,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-TKD/D835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-TKD/I836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ze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szpiku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kostnego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krwi</w:t>
            </w:r>
            <w:r w:rsidR="001D5B0C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lub ogniska pozaszpikowego</w:t>
            </w:r>
            <w:r w:rsidR="006D61C9" w:rsidRPr="00C10F3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872CE68" w14:textId="164FF2AE" w:rsidR="0043594B" w:rsidRPr="00B962A0" w:rsidRDefault="0084334C" w:rsidP="00B962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przypadku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oporności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choroby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ma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konieczności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powtarzania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badania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>mutacji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B962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D82CA1" w:rsidRPr="00B962A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14:paraId="37BB977A" w14:textId="34C2AE57" w:rsidR="00A50FA7" w:rsidRPr="00C10F34" w:rsidRDefault="00A50FA7" w:rsidP="00C10F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BA710C1" w14:textId="7C2F408B" w:rsidR="00B7400E" w:rsidRPr="00C10F34" w:rsidRDefault="00B7400E" w:rsidP="001C261A">
            <w:pPr>
              <w:pStyle w:val="Akapitzlist"/>
              <w:numPr>
                <w:ilvl w:val="1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47106A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wymagający kontynuacji leczenia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7106A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335386" w:rsidRPr="00C10F34">
              <w:rPr>
                <w:rFonts w:ascii="Times New Roman" w:hAnsi="Times New Roman" w:cs="Times New Roman"/>
                <w:sz w:val="20"/>
                <w:szCs w:val="20"/>
              </w:rPr>
              <w:t>za wyjątkiem trwających badań klinicznych),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ADE4411" w14:textId="618DFD28" w:rsidR="00781AB6" w:rsidRPr="00C10F34" w:rsidRDefault="00781AB6" w:rsidP="00C10F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6D3BB406" w:rsidR="001B2161" w:rsidRPr="00C10F34" w:rsidRDefault="009C2DB3" w:rsidP="001C261A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462C2A8B" w14:textId="6855754A" w:rsidR="00335386" w:rsidRPr="00B962A0" w:rsidRDefault="00335386" w:rsidP="00B962A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wyłączenia, jednak z zastrzeżeniem, iż w przypadku terapii:</w:t>
            </w:r>
          </w:p>
          <w:p w14:paraId="335D3013" w14:textId="680B3416" w:rsidR="009E3B29" w:rsidRPr="00C10F34" w:rsidRDefault="009E3B29" w:rsidP="001C261A">
            <w:pPr>
              <w:pStyle w:val="Akapitzlist"/>
              <w:numPr>
                <w:ilvl w:val="1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midostauryną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</w:p>
          <w:p w14:paraId="4D295FA0" w14:textId="1234DF4B" w:rsidR="00F809D2" w:rsidRPr="00C10F34" w:rsidRDefault="001B2161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3538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C0511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dniowe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(jeżeli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pozwolił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uzyskać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ekspertów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połączeniu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midostauryną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7109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4335B91" w14:textId="73B2325B" w:rsidR="00DE53F3" w:rsidRPr="00C10F34" w:rsidRDefault="001B2161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osiągnięta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ekspertów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indukujących,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CA4A78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580AE7D" w14:textId="41879BDB" w:rsidR="00BD31DD" w:rsidRPr="00C10F34" w:rsidRDefault="001B2161" w:rsidP="00B962A0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biorcami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allogenicznych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(ang.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allogeneic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hematopoietic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cell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transplant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allo-H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SCT)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midostauryną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przerwać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kondycjonującego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poprzedzającego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SCT.</w:t>
            </w:r>
          </w:p>
          <w:p w14:paraId="709A7FE5" w14:textId="77777777" w:rsidR="003E147B" w:rsidRPr="00C10F34" w:rsidRDefault="003E147B" w:rsidP="00C10F34">
            <w:pPr>
              <w:ind w:left="4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7DA18E0" w14:textId="7A69D0CA" w:rsidR="00F809D2" w:rsidRPr="00C10F34" w:rsidRDefault="00F809D2" w:rsidP="001C261A">
            <w:pPr>
              <w:pStyle w:val="Akapitzlist"/>
              <w:numPr>
                <w:ilvl w:val="1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cytarabiną</w:t>
            </w:r>
          </w:p>
          <w:p w14:paraId="56CA66CA" w14:textId="4DF20B0B" w:rsidR="00F809D2" w:rsidRPr="00C10F34" w:rsidRDefault="00D60CE4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3538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jeden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ozogamycyny;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pozwolił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uzyskać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</w:t>
            </w:r>
            <w:r w:rsidR="009F40D9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997109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9E5AE71" w14:textId="0E5A6F54" w:rsidR="00D60CE4" w:rsidRPr="00C10F34" w:rsidRDefault="00D60CE4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LeukemiaNet)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indukującym,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9714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9714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9714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83A1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9714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A9714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cytogenetycznie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korzystnymi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rokowniczymi</w:t>
            </w:r>
            <w:r w:rsidR="007C1CB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02EC445" w14:textId="44DD7D63" w:rsidR="007E2324" w:rsidRPr="00C10F34" w:rsidRDefault="007C1CB0" w:rsidP="00B962A0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rozważenia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pominięcie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cyklu/cyklach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wenookluzyjnej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(VOD),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planowane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przeszczepienie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allogenicznych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macierzystych.</w:t>
            </w:r>
          </w:p>
          <w:p w14:paraId="409944D8" w14:textId="696BDEE8" w:rsidR="00335386" w:rsidRPr="00C10F34" w:rsidRDefault="00335386" w:rsidP="00C10F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1F9FD5F7" w14:textId="77777777" w:rsidR="00842007" w:rsidRPr="00C10F34" w:rsidRDefault="00DC47CE" w:rsidP="001C261A">
            <w:pPr>
              <w:pStyle w:val="Akapitzlist"/>
              <w:numPr>
                <w:ilvl w:val="1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wenetoklaksem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azacytydyną</w:t>
            </w:r>
          </w:p>
          <w:p w14:paraId="51E0298D" w14:textId="3B345AFA" w:rsidR="00FE0916" w:rsidRPr="00C10F34" w:rsidRDefault="00842007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niemożliwej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zaakceptowania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CA4A78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292FF23" w14:textId="77777777" w:rsidR="00E83F01" w:rsidRPr="00C10F34" w:rsidRDefault="00E83F01" w:rsidP="00C10F34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38CECC" w14:textId="106C73F4" w:rsidR="007E2324" w:rsidRPr="00C10F34" w:rsidRDefault="00DC47CE" w:rsidP="001C261A">
            <w:pPr>
              <w:pStyle w:val="Akapitzlist"/>
              <w:numPr>
                <w:ilvl w:val="1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gilterytynibem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2A077B0A" w14:textId="6076CB55" w:rsidR="00D679DF" w:rsidRPr="00C10F34" w:rsidRDefault="007E2324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czasu,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kiedy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odnosi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korzyści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kliniczn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gilterytynibem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toksyczności.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opóźniona,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dlatego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kontynuowanie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zaleconej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aby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zapewnić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kliniczną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C10F34">
              <w:rPr>
                <w:rFonts w:ascii="Times New Roman" w:hAnsi="Times New Roman" w:cs="Times New Roman"/>
                <w:sz w:val="20"/>
                <w:szCs w:val="20"/>
              </w:rPr>
              <w:t>choroby)</w:t>
            </w:r>
            <w:r w:rsidR="00D679DF" w:rsidRPr="00C10F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ED765D" w14:textId="59D48FAE" w:rsidR="00A154A6" w:rsidRPr="00C10F34" w:rsidRDefault="00A154A6" w:rsidP="00B962A0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biorcami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allogenicznych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(ang.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allogeneic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hematopoietic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cell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transplant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allo-HSCT)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gliterytynibem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przerwać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jeden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tydzień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kondycjonującego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poprzedzającego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allo-HSCT.</w:t>
            </w:r>
          </w:p>
          <w:p w14:paraId="687196CA" w14:textId="0D43B86D" w:rsidR="00461F75" w:rsidRPr="00C10F34" w:rsidRDefault="0046650A" w:rsidP="00B962A0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ontynuacja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gilterytynibem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(tzw.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podtrzymująca)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przeszczepieniu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5C0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allogenicznych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AF5C0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HSCT)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461F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9CDCA24" w14:textId="77777777" w:rsidR="00493DCD" w:rsidRPr="00C10F34" w:rsidRDefault="00493DCD" w:rsidP="00C10F34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53E2288B" w:rsidR="00C37C7F" w:rsidRPr="00C10F34" w:rsidRDefault="009C2DB3" w:rsidP="001C26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35386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 z programu</w:t>
            </w:r>
          </w:p>
          <w:p w14:paraId="4AA06340" w14:textId="77777777" w:rsidR="00335386" w:rsidRPr="00C10F34" w:rsidRDefault="00335386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brak skuteczności terapii definiowany jako:</w:t>
            </w:r>
          </w:p>
          <w:p w14:paraId="0A43F7E2" w14:textId="77777777" w:rsidR="00335386" w:rsidRPr="00C10F34" w:rsidRDefault="00335386" w:rsidP="001C261A">
            <w:pPr>
              <w:pStyle w:val="Akapitzlist"/>
              <w:numPr>
                <w:ilvl w:val="4"/>
                <w:numId w:val="7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brak uzyskania całkowitej remisji choroby zgodnie z wytycznymi ekspertów European LeukemiaNet po maksymalnie dwóch cyklach leczenia indukującego (brak skuteczności terapii) albo progresja choroby zgodnie z wytycznymi ekspertów European LeukemiaNet w trakcie stosowania terapii konsolidującej – w przypadku terapii </w:t>
            </w:r>
            <w:r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 w skojarzeniu z daunorubicyną i cytarabiną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albo</w:t>
            </w:r>
            <w:r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gemtuzumabem ozogamycyny w skojarzeniu z daunorubicyną i cytarabiną,</w:t>
            </w:r>
          </w:p>
          <w:p w14:paraId="273A0B33" w14:textId="7987861A" w:rsidR="00A67CE9" w:rsidRPr="00C10F34" w:rsidRDefault="00335386" w:rsidP="001C261A">
            <w:pPr>
              <w:pStyle w:val="Akapitzlist"/>
              <w:numPr>
                <w:ilvl w:val="4"/>
                <w:numId w:val="7"/>
              </w:numPr>
              <w:contextualSpacing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progresja </w:t>
            </w:r>
            <w:r w:rsidR="00A67CE9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choroby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w trakcie leczenia – w przypadku terapii </w:t>
            </w:r>
            <w:r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wenetoklaksem w skojarzeniu z azacytydyną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gilterytynibem w monoterapii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(pomimo zwiększenia dawki gilterytynibu);</w:t>
            </w:r>
          </w:p>
          <w:p w14:paraId="45EE75C2" w14:textId="4F2BAFE2" w:rsidR="00A67CE9" w:rsidRPr="00C10F34" w:rsidRDefault="00A67CE9" w:rsidP="001C261A">
            <w:pPr>
              <w:pStyle w:val="Akapitzlist"/>
              <w:numPr>
                <w:ilvl w:val="4"/>
                <w:numId w:val="7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w trakcie leczenia (tj. ponad 15% blastów we krwi obwodowej lub szpiku kostnym) – w przypadku terapii </w:t>
            </w:r>
            <w:r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azacytydyną doustną w monoterapii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533C6D4E" w14:textId="39E5C286" w:rsidR="00C37C7F" w:rsidRPr="00C10F34" w:rsidRDefault="00C37C7F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C10F3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67CE9" w:rsidRPr="00C10F34">
              <w:rPr>
                <w:rFonts w:ascii="Times New Roman" w:hAnsi="Times New Roman" w:cs="Times New Roman"/>
                <w:sz w:val="20"/>
                <w:szCs w:val="20"/>
              </w:rPr>
              <w:t>, uniemożliwiających kontynuację leczenia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CE1E2F" w14:textId="611E2008" w:rsidR="00B14C08" w:rsidRPr="00C10F34" w:rsidRDefault="00A67CE9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C10F34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lub zagrażającej życiu </w:t>
            </w:r>
            <w:r w:rsidR="00B14C08" w:rsidRPr="00C10F34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C10F34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C10F34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adekwatnego postępowania;</w:t>
            </w:r>
          </w:p>
          <w:p w14:paraId="6C996551" w14:textId="1BE7F925" w:rsidR="00A67CE9" w:rsidRPr="00C10F34" w:rsidRDefault="00A67CE9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131A8C27" w14:textId="04A3EC36" w:rsidR="007415B0" w:rsidRPr="00C10F34" w:rsidRDefault="00736AC6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C10F34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C10F34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1FA97D21" w14:textId="4495E739" w:rsidR="00A67CE9" w:rsidRPr="00C10F34" w:rsidRDefault="00A67CE9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świadczeniobiorcy lub jego opiekun</w:t>
            </w:r>
            <w:r w:rsidR="00E83F01" w:rsidRPr="00C10F3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prawn</w:t>
            </w:r>
            <w:r w:rsidR="00E83F01" w:rsidRPr="00C10F34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A4B9F5" w14:textId="77777777" w:rsidR="009C2DB3" w:rsidRPr="00C10F34" w:rsidRDefault="00DD660E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przeprowadzenie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5916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przeszczepieni</w:t>
            </w:r>
            <w:r w:rsidR="007415B0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a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allogenicznych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0D5916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krwiotwórczych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0D5916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komórek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0D5916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macierzystych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0D5916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</w:t>
            </w:r>
            <w:r w:rsidR="00AF5C01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allo-</w:t>
            </w:r>
            <w:r w:rsidR="000D5916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HSCT)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–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przypadku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terapii</w:t>
            </w:r>
            <w:r w:rsidR="00025874" w:rsidRPr="00C10F3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daunorubicyną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cytarabiną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5C01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gilterytynibem</w:t>
            </w:r>
            <w:r w:rsidR="00025874" w:rsidRPr="00C10F34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7415B0" w:rsidRPr="00C10F34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monoterapii.</w:t>
            </w:r>
          </w:p>
          <w:p w14:paraId="5A343931" w14:textId="7102C0A0" w:rsidR="00842007" w:rsidRPr="00C10F34" w:rsidRDefault="00842007" w:rsidP="00C10F34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3" w:type="dxa"/>
          </w:tcPr>
          <w:p w14:paraId="1C4F671D" w14:textId="4E522AAB" w:rsidR="00871857" w:rsidRPr="00C10F34" w:rsidRDefault="00F5640E" w:rsidP="00B962A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5220F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5220F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6D58B99" w14:textId="1C109F2E" w:rsidR="003936F0" w:rsidRPr="00C10F34" w:rsidRDefault="0035220F" w:rsidP="00B962A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idostauryną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</w:p>
          <w:p w14:paraId="192BD3C1" w14:textId="76D5C7CF" w:rsidR="000113DD" w:rsidRPr="00C10F34" w:rsidRDefault="000113DD" w:rsidP="00B962A0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indukujące</w:t>
            </w:r>
          </w:p>
          <w:p w14:paraId="02EEBFA7" w14:textId="1E1DAB46" w:rsidR="00146D02" w:rsidRPr="00B962A0" w:rsidRDefault="00146D02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Pierwszy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cykl:</w:t>
            </w:r>
          </w:p>
          <w:p w14:paraId="67420A53" w14:textId="13FF136B" w:rsidR="00093B4C" w:rsidRPr="00B962A0" w:rsidRDefault="00845842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46D0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D097C9F" w14:textId="1E3B88FB" w:rsidR="00093B4C" w:rsidRPr="00B962A0" w:rsidRDefault="00093B4C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Daunorubicyna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D021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46D0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DA2F54" w14:textId="08BE0159" w:rsidR="00146D02" w:rsidRDefault="00146D02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60E2B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100-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D021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8D021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1F56C721" w14:textId="77777777" w:rsidR="00842007" w:rsidRPr="00B962A0" w:rsidRDefault="00F56D28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Drugi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cykl: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167DA01" w14:textId="5F220BBD" w:rsidR="00146D02" w:rsidRPr="00B962A0" w:rsidRDefault="00146D02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pozwolił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ekspertów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midostauryną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(dawkowanie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2-go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wyższymi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cytarabiny</w:t>
            </w:r>
            <w:r w:rsidR="008D021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382927D4" w14:textId="77777777" w:rsidR="00842007" w:rsidRPr="00C10F34" w:rsidRDefault="00842007" w:rsidP="00C10F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C0506D" w14:textId="5431AD3C" w:rsidR="00146D02" w:rsidRPr="00C10F34" w:rsidRDefault="00146D02" w:rsidP="00B962A0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konsolidujące</w:t>
            </w:r>
          </w:p>
          <w:p w14:paraId="4B3B0F8B" w14:textId="1FBB9999" w:rsidR="00EB30A8" w:rsidRPr="00B962A0" w:rsidRDefault="00EB30A8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całkowitą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(CR)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konsolidującego:</w:t>
            </w:r>
          </w:p>
          <w:p w14:paraId="19E29931" w14:textId="7AE1F01B" w:rsidR="0051253E" w:rsidRPr="00B962A0" w:rsidRDefault="00EB30A8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4CDFBD2" w14:textId="40EC3EE3" w:rsidR="0072106F" w:rsidRPr="00B962A0" w:rsidRDefault="00FC78DD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ośredni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1000-1500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(500-1000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≥60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godzinnym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0357B31" w14:textId="77777777" w:rsidR="0051253E" w:rsidRPr="00C10F34" w:rsidRDefault="0051253E" w:rsidP="00C10F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54C4CF1" w14:textId="260A5930" w:rsidR="00087BBC" w:rsidRPr="00C10F34" w:rsidRDefault="00DA16BE" w:rsidP="00B962A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cytarabiną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5A99750B" w14:textId="4EC5EFCA" w:rsidR="007B6C4C" w:rsidRPr="00C10F34" w:rsidRDefault="007B6C4C" w:rsidP="00B962A0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indukujące</w:t>
            </w:r>
          </w:p>
          <w:p w14:paraId="31F14549" w14:textId="2EB92969" w:rsidR="007129A6" w:rsidRPr="00B962A0" w:rsidRDefault="00332197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Pierwszy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cykl:</w:t>
            </w:r>
          </w:p>
          <w:p w14:paraId="36167092" w14:textId="73E2BDC1" w:rsidR="00047B3C" w:rsidRPr="00B962A0" w:rsidRDefault="007129A6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pc./dawkę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fiolka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584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584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niu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7B3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również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7B3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jednorazowym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</w:t>
            </w:r>
            <w:r w:rsidR="00DE073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LeukemiaNet.</w:t>
            </w:r>
          </w:p>
          <w:p w14:paraId="1370879B" w14:textId="1F436CBA" w:rsidR="007129A6" w:rsidRPr="00B962A0" w:rsidRDefault="007129A6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aunorubicyn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584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584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3AE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nia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F755273" w14:textId="5510957A" w:rsidR="004B0C04" w:rsidRDefault="007129A6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ytarabin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aw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7B3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100-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3AE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4B0C0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6CC5DF2" w14:textId="77777777" w:rsidR="00842007" w:rsidRPr="00B962A0" w:rsidRDefault="004B0C04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Drugi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cykl: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DD4E87F" w14:textId="39E9BB8A" w:rsidR="00ED41A8" w:rsidRPr="00B962A0" w:rsidRDefault="007B6C4C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należy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daunorubicynę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następującym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schemacie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ED41A8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102233D0" w14:textId="176C9BDE" w:rsidR="00ED41A8" w:rsidRPr="00B962A0" w:rsidRDefault="00ED41A8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aunorubicyna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6CCB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6CCB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6684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61220D45" w14:textId="673CC4C5" w:rsidR="007B6C4C" w:rsidRPr="00B962A0" w:rsidRDefault="00ED41A8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ytarabina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g/m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(500-1000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≥60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6CCB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godzinnym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CF0607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6684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6684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5F799450" w14:textId="77777777" w:rsidR="00842007" w:rsidRPr="00C10F34" w:rsidRDefault="00842007" w:rsidP="00C10F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63F36B" w14:textId="6B5230B4" w:rsidR="007B6C4C" w:rsidRPr="00C10F34" w:rsidRDefault="007B6C4C" w:rsidP="00B962A0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konsolidujące</w:t>
            </w:r>
          </w:p>
          <w:p w14:paraId="60A49E6C" w14:textId="5BDCAD3F" w:rsidR="00CF0607" w:rsidRPr="00B962A0" w:rsidRDefault="007B6C4C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całkowitą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(CR)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</w:t>
            </w:r>
            <w:r w:rsidR="00ED41A8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15BC607D" w14:textId="0671A298" w:rsidR="000E3FC3" w:rsidRPr="00B962A0" w:rsidRDefault="00ED41A8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pc./dawkę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fiolka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103B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103B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103B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103B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cykli)</w:t>
            </w:r>
            <w:r w:rsidR="000E3FC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447793C" w14:textId="2E5FA27F" w:rsidR="00DF5AB1" w:rsidRPr="00B962A0" w:rsidRDefault="00FC78DD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ośredni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1000-1500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(500-1000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F40D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≥60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A652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godzinnym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3499318" w14:textId="525CFC75" w:rsidR="00B55369" w:rsidRPr="00C10F34" w:rsidRDefault="00B55369" w:rsidP="00C10F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57FBA6" w14:textId="7061528A" w:rsidR="00993DBD" w:rsidRPr="00C10F34" w:rsidRDefault="00281512" w:rsidP="00B962A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wenetoklaksem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32518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azacytydyną</w:t>
            </w:r>
          </w:p>
          <w:p w14:paraId="60C5B441" w14:textId="01AA0BA1" w:rsidR="009C4D53" w:rsidRPr="00B962A0" w:rsidRDefault="00087BBC" w:rsidP="00B962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Wenetoklaks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dawkowania: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BA10B7E" w14:textId="28E0B5A1" w:rsidR="009C4D53" w:rsidRPr="00B962A0" w:rsidRDefault="009C4D53" w:rsidP="00B962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1: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mg/dobę;</w:t>
            </w:r>
          </w:p>
          <w:p w14:paraId="0C42929B" w14:textId="645871DB" w:rsidR="009C4D53" w:rsidRPr="00B962A0" w:rsidRDefault="009C4D53" w:rsidP="00B962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2: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mg/dobę;</w:t>
            </w:r>
          </w:p>
          <w:p w14:paraId="7F411987" w14:textId="6F02F057" w:rsidR="009C4D53" w:rsidRPr="00B962A0" w:rsidRDefault="009C4D53" w:rsidP="00B962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kolejne: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mg/dobę.</w:t>
            </w:r>
          </w:p>
          <w:p w14:paraId="2D0A5F8D" w14:textId="7E487FA2" w:rsidR="009C4D53" w:rsidRPr="00B962A0" w:rsidRDefault="009C4D53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wenetoklaksem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rozpadu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guza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(TLS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Tumor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Lysis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Syndrome),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zawartym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277076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D300F1E" w14:textId="20417397" w:rsidR="00DF5AB1" w:rsidRPr="00B962A0" w:rsidRDefault="00DF5AB1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jednoczesnego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silnymi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umiarkowanymi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CYP3A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wenetoklaksu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zapisami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8F79C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0903643" w14:textId="6E6EBA1A" w:rsidR="009C4D53" w:rsidRPr="00B962A0" w:rsidRDefault="00087BBC" w:rsidP="00B962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Azacytydyn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poda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wana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54D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754D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754D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1-7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począwszy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A708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A708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281512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D1088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D1088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0B8A558D" w14:textId="3A1F31DB" w:rsidR="009C4D53" w:rsidRPr="00C10F34" w:rsidRDefault="009C4D53" w:rsidP="00C10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8739A" w14:textId="5A186BD4" w:rsidR="00DD3D20" w:rsidRPr="00C10F34" w:rsidRDefault="00DD3D20" w:rsidP="00B962A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azacytydyn</w:t>
            </w:r>
            <w:r w:rsidR="00F44163" w:rsidRPr="00C10F3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ą</w:t>
            </w:r>
            <w:r w:rsidRPr="00C10F3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doustną w monoterapii</w:t>
            </w:r>
          </w:p>
          <w:p w14:paraId="6F594BAB" w14:textId="77A2C1B3" w:rsidR="00DD3D20" w:rsidRPr="00B962A0" w:rsidRDefault="00DD3D20" w:rsidP="00B962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Azacytydyna – zalecana dawka 300 mg podawana doustnie 1 raz na dobę</w:t>
            </w:r>
            <w:r w:rsidR="00F44163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w dniach 1-14 każdego</w:t>
            </w:r>
            <w:r w:rsidR="002008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4163" w:rsidRPr="00B962A0">
              <w:rPr>
                <w:rFonts w:ascii="Times New Roman" w:hAnsi="Times New Roman" w:cs="Times New Roman"/>
                <w:sz w:val="20"/>
                <w:szCs w:val="20"/>
              </w:rPr>
              <w:t>28-dniowego cyklu.</w:t>
            </w:r>
          </w:p>
          <w:p w14:paraId="72034CAE" w14:textId="7981A974" w:rsidR="00F44163" w:rsidRPr="00B962A0" w:rsidRDefault="00F44163" w:rsidP="00B962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W przypadku nawrotu choroby, gdy odsetek blastów we krwi obwodowej lub szpiku kostnym wynosi</w:t>
            </w:r>
            <w:r w:rsidR="002008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5–15%, należy, po wykonaniu oceny klinicznej, rozważyć wydłużenie schematu dawkowania z 14 do 21 dni powtarzającego się 28-dniowego cyklu. Produktu leczniczego nie należy podawać dłużej niż 21 dni w ciągu każdego 28-dniowego cyklu.</w:t>
            </w:r>
          </w:p>
          <w:p w14:paraId="68F1873D" w14:textId="7354A53C" w:rsidR="00DD3D20" w:rsidRPr="00B962A0" w:rsidRDefault="00B962A0" w:rsidP="00B962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44163" w:rsidRPr="00B962A0">
              <w:rPr>
                <w:rFonts w:ascii="Times New Roman" w:hAnsi="Times New Roman" w:cs="Times New Roman"/>
                <w:sz w:val="20"/>
                <w:szCs w:val="20"/>
              </w:rPr>
              <w:t>zacytydyny doustnej nie należy podawać zamiennie z azacytydyną w formie wstrzyknięć.</w:t>
            </w:r>
          </w:p>
          <w:p w14:paraId="4A74D200" w14:textId="77777777" w:rsidR="00DD3D20" w:rsidRPr="00C10F34" w:rsidRDefault="00DD3D20" w:rsidP="00C10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8817226" w14:textId="71E2C70D" w:rsidR="00C56B2F" w:rsidRPr="00C10F34" w:rsidRDefault="007A7082" w:rsidP="00B962A0">
            <w:pPr>
              <w:pStyle w:val="Akapitzlist"/>
              <w:numPr>
                <w:ilvl w:val="1"/>
                <w:numId w:val="8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gilterytynibem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3781172E" w14:textId="2A6F6529" w:rsidR="0035220F" w:rsidRPr="00B962A0" w:rsidRDefault="000113DD" w:rsidP="00B962A0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Gilterytynib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652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652A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460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460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dobę.</w:t>
            </w:r>
          </w:p>
          <w:p w14:paraId="0A31BEF4" w14:textId="2D3AABED" w:rsidR="003936F0" w:rsidRPr="00B962A0" w:rsidRDefault="0035220F" w:rsidP="00B962A0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(pacjent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osiągnął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CRc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złożonej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remisji)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dobę,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klinicznie.</w:t>
            </w:r>
          </w:p>
          <w:p w14:paraId="217A380E" w14:textId="77777777" w:rsidR="003936F0" w:rsidRPr="00C10F34" w:rsidRDefault="003936F0" w:rsidP="00C10F34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22EB3E98" w:rsidR="005A652A" w:rsidRPr="00C10F34" w:rsidRDefault="00BC3CB9" w:rsidP="00B962A0">
            <w:pPr>
              <w:pStyle w:val="Akapitzlist"/>
              <w:numPr>
                <w:ilvl w:val="0"/>
                <w:numId w:val="8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72ADA5A3" w14:textId="53A05901" w:rsidR="00BC3CB9" w:rsidRPr="00B962A0" w:rsidRDefault="00F9393E" w:rsidP="00B962A0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Szczegóły dotyczące sposobu podawania, ewentualnego czasowego wstrzymania leczenia oraz ewentualnego zmniejszania dawki leku zgodnie z aktualną Charakterystyką Produktu Leczniczego odpowiedniego leku. </w:t>
            </w:r>
          </w:p>
        </w:tc>
        <w:tc>
          <w:tcPr>
            <w:tcW w:w="4293" w:type="dxa"/>
          </w:tcPr>
          <w:p w14:paraId="32BBCCA9" w14:textId="066DF387" w:rsidR="00D34AD7" w:rsidRPr="00C10F34" w:rsidRDefault="00D34AD7" w:rsidP="00B962A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025874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25874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3244541" w14:textId="3C085F6E" w:rsidR="00F9393E" w:rsidRPr="00C10F34" w:rsidRDefault="00F9393E" w:rsidP="00B962A0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 do I linii leczenia oraz</w:t>
            </w:r>
            <w:r w:rsidR="00CF67B8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CF67B8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II i kolejnych linii leczenia ostrej białaczki</w:t>
            </w:r>
            <w:r w:rsidR="00CF67B8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szpikowej</w:t>
            </w:r>
          </w:p>
          <w:p w14:paraId="34B70BA5" w14:textId="10B7C22F" w:rsidR="008777AA" w:rsidRPr="00C10F34" w:rsidRDefault="00FC798E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szpikowej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(biopsja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aspiracyjna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szpiku,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trepanobiopsja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suchej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aspiracyjnej,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immunofenotypowe,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cytogenetyczne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C10F34">
              <w:rPr>
                <w:rFonts w:ascii="Times New Roman" w:hAnsi="Times New Roman" w:cs="Times New Roman"/>
                <w:sz w:val="20"/>
                <w:szCs w:val="20"/>
              </w:rPr>
              <w:t>molekularne)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5D7DEB01" w14:textId="789BD03C" w:rsidR="00CA0A89" w:rsidRPr="00C10F34" w:rsidRDefault="00102271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(wewnątrztandemowej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duplikacji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[ITD]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obrębie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domeny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kinazy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tyrozynowej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[TKD])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daunorubicyną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cytarabiną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gilterytynibem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r w:rsidR="00C927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="00025874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055681BE" w14:textId="1D5A2DB7" w:rsidR="008777AA" w:rsidRPr="00C10F34" w:rsidRDefault="00CA0A89" w:rsidP="00B962A0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opornością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3ED9"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gliterytynib</w:t>
            </w:r>
            <w:r w:rsidR="00ED3ED9" w:rsidRPr="00C10F34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uwzględnienie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immunofenotypowego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wykonan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C10F34">
              <w:rPr>
                <w:rFonts w:ascii="Times New Roman" w:hAnsi="Times New Roman" w:cs="Times New Roman"/>
                <w:sz w:val="20"/>
                <w:szCs w:val="20"/>
              </w:rPr>
              <w:t>indukującego</w:t>
            </w:r>
            <w:r w:rsidR="008777AA" w:rsidRPr="00C10F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C15D1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2B7C51" w14:textId="7CD8AC35" w:rsidR="00461279" w:rsidRPr="00C10F34" w:rsidRDefault="00A31C75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b</w:t>
            </w:r>
            <w:r w:rsidR="008777AA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A0A89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immunofenotypowe</w:t>
            </w:r>
            <w:r w:rsidR="00CF67B8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777AA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potwierdzające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777AA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ekspresję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CD33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komórkach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blastycznych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cytarabiną</w:t>
            </w:r>
            <w:r w:rsidR="00C927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;</w:t>
            </w:r>
          </w:p>
          <w:p w14:paraId="33E45ABF" w14:textId="243DEBC2" w:rsidR="00B030AD" w:rsidRPr="00C10F34" w:rsidRDefault="00C6028E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(ECOG)</w:t>
            </w:r>
            <w:r w:rsidR="00B030AD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4E23629" w14:textId="6A1D6CF4" w:rsidR="00C54D12" w:rsidRPr="00C10F34" w:rsidRDefault="00B030AD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C602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02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02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współistniejących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02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(HCT-CI);</w:t>
            </w:r>
          </w:p>
          <w:p w14:paraId="00EC0515" w14:textId="1DEB058E" w:rsidR="00A31C75" w:rsidRPr="00C10F34" w:rsidRDefault="00A31C75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laboratoryjne: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98BA65B" w14:textId="5B2D2AD5" w:rsidR="00A31C75" w:rsidRPr="00C10F34" w:rsidRDefault="00A31C75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6C15D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D79E5F2" w14:textId="11D28FF1" w:rsidR="00A31C75" w:rsidRPr="00C10F34" w:rsidRDefault="00A31C75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biochemia: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mocznik,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kreatynina,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kwas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moczowy,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sodu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glukoza,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bilirubina,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AST,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</w:t>
            </w:r>
            <w:r w:rsidR="006C15D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8776814" w14:textId="02BF2036" w:rsidR="00A31C75" w:rsidRPr="00C10F34" w:rsidRDefault="00A31C75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koagulogram: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APTT,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721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7210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INR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fibrynogen</w:t>
            </w:r>
            <w:r w:rsidR="006C15D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7E0A826" w14:textId="1C1AB45A" w:rsidR="00A31C75" w:rsidRPr="00C10F34" w:rsidRDefault="00A31C75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rozrodczym);</w:t>
            </w:r>
          </w:p>
          <w:p w14:paraId="11430EE7" w14:textId="77777777" w:rsidR="00C94EDA" w:rsidRPr="00C10F34" w:rsidRDefault="00FA3374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82535F4" w14:textId="273B3A2A" w:rsidR="00C94EDA" w:rsidRPr="00C10F34" w:rsidRDefault="00FA3374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ECHO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serca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963D5F7" w14:textId="7B71258E" w:rsidR="00C94EDA" w:rsidRPr="00C10F34" w:rsidRDefault="00FA3374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439333C9" w14:textId="17AE2BC6" w:rsidR="00FC798E" w:rsidRPr="00C10F34" w:rsidRDefault="00FA3374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punkcja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lędźwiowa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(tylko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podejrzeniem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OUN);</w:t>
            </w:r>
          </w:p>
          <w:p w14:paraId="1F4207E5" w14:textId="0AD66940" w:rsidR="00907E23" w:rsidRPr="00C10F34" w:rsidRDefault="00907E23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eGFR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798E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przesiewowe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obecności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wirusowego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HBsAg,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HBcAb)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9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9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9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9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98E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wenetoklaksem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C798E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C798E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C798E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C798E" w:rsidRPr="00C10F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azacytydyną</w:t>
            </w:r>
            <w:r w:rsidR="00FC79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ADF7CF0" w14:textId="652C6EF9" w:rsidR="00526AD7" w:rsidRPr="00C10F34" w:rsidRDefault="00E4639B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magnezu</w:t>
            </w:r>
            <w:r w:rsidR="00FC798E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934" w:rsidRPr="00C10F34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E74C92" w:rsidRPr="00C10F34">
              <w:rPr>
                <w:rFonts w:ascii="Times New Roman" w:hAnsi="Times New Roman" w:cs="Times New Roman"/>
                <w:sz w:val="20"/>
                <w:szCs w:val="20"/>
              </w:rPr>
              <w:t>inaza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4C92" w:rsidRPr="00C10F34">
              <w:rPr>
                <w:rFonts w:ascii="Times New Roman" w:hAnsi="Times New Roman" w:cs="Times New Roman"/>
                <w:sz w:val="20"/>
                <w:szCs w:val="20"/>
              </w:rPr>
              <w:t>fosfokreatynowa</w:t>
            </w:r>
            <w:r w:rsidR="00B17934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934" w:rsidRPr="00C10F3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E74C92" w:rsidRPr="00C10F34">
              <w:rPr>
                <w:rFonts w:ascii="Times New Roman" w:hAnsi="Times New Roman" w:cs="Times New Roman"/>
                <w:sz w:val="20"/>
                <w:szCs w:val="20"/>
              </w:rPr>
              <w:t>osfataza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4C92" w:rsidRPr="00C10F34">
              <w:rPr>
                <w:rFonts w:ascii="Times New Roman" w:hAnsi="Times New Roman" w:cs="Times New Roman"/>
                <w:sz w:val="20"/>
                <w:szCs w:val="20"/>
              </w:rPr>
              <w:t>alkaliczna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4C92" w:rsidRPr="00C10F34">
              <w:rPr>
                <w:rFonts w:ascii="Times New Roman" w:hAnsi="Times New Roman" w:cs="Times New Roman"/>
                <w:sz w:val="20"/>
                <w:szCs w:val="20"/>
              </w:rPr>
              <w:t>(ALP)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98E" w:rsidRPr="00C10F3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98E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98E" w:rsidRPr="00C10F3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98E" w:rsidRPr="00C10F3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98E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gilterytynibem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798E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798E" w:rsidRPr="00C10F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monoterapii.</w:t>
            </w:r>
          </w:p>
          <w:p w14:paraId="5BF96001" w14:textId="4C8FD760" w:rsidR="00075B4B" w:rsidRPr="00C10F34" w:rsidRDefault="00075B4B" w:rsidP="00C10F3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5466068" w14:textId="7D611B00" w:rsidR="00961F81" w:rsidRPr="00C10F34" w:rsidRDefault="00961F81" w:rsidP="00B962A0">
            <w:pPr>
              <w:pStyle w:val="Akapitzlist"/>
              <w:numPr>
                <w:ilvl w:val="1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Badania przy kwalifikacji do leczenia podtrzymującego </w:t>
            </w:r>
            <w:r w:rsidR="00D25063" w:rsidRPr="00C10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doustną azacytydyną </w:t>
            </w:r>
          </w:p>
          <w:p w14:paraId="270F84AC" w14:textId="5D96BBEE" w:rsidR="00961F81" w:rsidRPr="00C10F34" w:rsidRDefault="00961F81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morfologia krwi z rozmazem;</w:t>
            </w:r>
          </w:p>
          <w:p w14:paraId="55564503" w14:textId="7C752C11" w:rsidR="00961F81" w:rsidRPr="00C10F34" w:rsidRDefault="00961F81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test ciążowy (u kobiet w wieku rozrodczym);</w:t>
            </w:r>
          </w:p>
          <w:p w14:paraId="7C8A068E" w14:textId="2F33ED70" w:rsidR="00961F81" w:rsidRPr="00C10F34" w:rsidRDefault="00961F81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 potwierdzające remisję choroby – biopsja aspiracyjna szpiku</w:t>
            </w:r>
            <w:r w:rsidR="007B6B35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(badanie powinno być wykonane w ciągu nie więcej niż</w:t>
            </w:r>
            <w:r w:rsidR="002008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tygodni poprzedzających rozpoczęcie leczenia).</w:t>
            </w:r>
          </w:p>
          <w:p w14:paraId="718274D7" w14:textId="77777777" w:rsidR="00961F81" w:rsidRPr="00C10F34" w:rsidRDefault="00961F81" w:rsidP="00C10F34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0B4FB93B" w14:textId="4160D065" w:rsidR="00992176" w:rsidRPr="00C10F34" w:rsidRDefault="009C2DB3" w:rsidP="00B962A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przypadku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terapii</w:t>
            </w:r>
          </w:p>
          <w:p w14:paraId="23C37258" w14:textId="42D8B967" w:rsidR="00896EAF" w:rsidRPr="00C10F34" w:rsidRDefault="00540675" w:rsidP="00B962A0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midostauryną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cytarabiną</w:t>
            </w:r>
          </w:p>
          <w:p w14:paraId="604350F0" w14:textId="4A535EC3" w:rsidR="00E65DCB" w:rsidRPr="00C10F34" w:rsidRDefault="00E65DCB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biopsja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aspiracyjna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szpiku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(oraz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40D9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drugim,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podany)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indukującym;</w:t>
            </w:r>
          </w:p>
          <w:p w14:paraId="71792F22" w14:textId="027AFD41" w:rsidR="00193F9C" w:rsidRPr="00C10F34" w:rsidRDefault="00ED3ED9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7C9D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E62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44ED3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E62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E62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indukującej,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44ED3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tydzień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konsolidującej</w:t>
            </w:r>
            <w:r w:rsidR="00D40549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wskazaniami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medycznymi</w:t>
            </w:r>
            <w:r w:rsidR="00117C9D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6E052D2" w14:textId="479C49F2" w:rsidR="004207AE" w:rsidRPr="00C10F34" w:rsidRDefault="00C44ED3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87D92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konsolidującej</w:t>
            </w:r>
            <w:r w:rsidR="006004F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wskazaniami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medycznymi:</w:t>
            </w:r>
          </w:p>
          <w:p w14:paraId="13A1173C" w14:textId="1D76F019" w:rsidR="00E65DCB" w:rsidRPr="00C10F34" w:rsidRDefault="00E65DCB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biochemia: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kreatynina,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sodu,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glukoza,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bilirubina,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AST,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</w:t>
            </w:r>
            <w:r w:rsidR="006C15D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BC619FE" w14:textId="424AAC83" w:rsidR="00E65DCB" w:rsidRPr="00C10F34" w:rsidRDefault="00896EAF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koagulogram: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APTT,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PT</w:t>
            </w:r>
            <w:r w:rsidR="00E53428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D182E97" w14:textId="07AB9856" w:rsidR="004207AE" w:rsidRPr="00C10F34" w:rsidRDefault="004207AE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pacjenta:</w:t>
            </w:r>
          </w:p>
          <w:p w14:paraId="686112F9" w14:textId="3A5B497B" w:rsidR="00394E62" w:rsidRPr="00C10F34" w:rsidRDefault="004207AE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5406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B1ED0F8" w14:textId="77777777" w:rsidR="00322E07" w:rsidRPr="00C10F34" w:rsidRDefault="00322E07" w:rsidP="00C10F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7B5E89" w14:textId="59AA2F1E" w:rsidR="00394E62" w:rsidRPr="00C10F34" w:rsidRDefault="00540675" w:rsidP="00B962A0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gemtuzumabem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cytarabiną</w:t>
            </w:r>
          </w:p>
          <w:p w14:paraId="2D5813C0" w14:textId="24642EF5" w:rsidR="000C7210" w:rsidRPr="00C10F34" w:rsidRDefault="000C7210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biopsja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aspiracyjna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szpiku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morfologią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konsolidującym;</w:t>
            </w:r>
          </w:p>
          <w:p w14:paraId="7B4438DE" w14:textId="2F35C049" w:rsidR="004207AE" w:rsidRPr="00C10F34" w:rsidRDefault="000C7210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dobą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41E3C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BA1A480" w14:textId="5B2F3BEA" w:rsidR="004207AE" w:rsidRPr="00C10F34" w:rsidRDefault="000C7210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biochemia: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ubina,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AST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BAC4D85" w14:textId="4F87D470" w:rsidR="000C7210" w:rsidRPr="00C10F34" w:rsidRDefault="000C7210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koagulogram: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APTT,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INR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BDFD581" w14:textId="0393BFC1" w:rsidR="004207AE" w:rsidRPr="00C10F34" w:rsidRDefault="004207AE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pacjenta:</w:t>
            </w:r>
          </w:p>
          <w:p w14:paraId="404FE7B9" w14:textId="7C705538" w:rsidR="00890185" w:rsidRPr="00C10F34" w:rsidRDefault="00890185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5406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C82344F" w14:textId="77777777" w:rsidR="00322E07" w:rsidRPr="00C10F34" w:rsidRDefault="00322E07" w:rsidP="00C10F34">
            <w:pPr>
              <w:ind w:left="45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D3E1BEB" w14:textId="61A686A8" w:rsidR="001D36F6" w:rsidRPr="00C10F34" w:rsidRDefault="001D36F6" w:rsidP="00B962A0">
            <w:pPr>
              <w:pStyle w:val="Akapitzlist"/>
              <w:numPr>
                <w:ilvl w:val="1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wenetoklaksem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540675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540675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540675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540675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azacytydyną</w:t>
            </w:r>
          </w:p>
          <w:p w14:paraId="5B83D0DF" w14:textId="76EEA849" w:rsidR="001D36F6" w:rsidRPr="00C10F34" w:rsidRDefault="001D36F6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biopsja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aspiracyjna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cyklach,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remisji.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kontrola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kolejna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biopsja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aspiracyjna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podejrzenia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progresji;</w:t>
            </w:r>
          </w:p>
          <w:p w14:paraId="2210CE17" w14:textId="509DB63B" w:rsidR="00586C6E" w:rsidRPr="00C10F34" w:rsidRDefault="00E4639B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E14" w:rsidRPr="00C10F34">
              <w:rPr>
                <w:rFonts w:ascii="Times New Roman" w:hAnsi="Times New Roman" w:cs="Times New Roman"/>
                <w:sz w:val="20"/>
                <w:szCs w:val="20"/>
              </w:rPr>
              <w:t>wenetoklaksu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dostosowania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586C6E" w:rsidRPr="00C10F3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AB7867D" w14:textId="5EC0C128" w:rsidR="004207AE" w:rsidRPr="00C10F34" w:rsidRDefault="00E4639B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6C15D1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869E77C" w14:textId="662D8BC2" w:rsidR="00586C6E" w:rsidRPr="00C10F34" w:rsidRDefault="001D36F6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biochemia: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C10F34">
              <w:rPr>
                <w:rFonts w:ascii="Times New Roman" w:hAnsi="Times New Roman" w:cs="Times New Roman"/>
                <w:sz w:val="20"/>
                <w:szCs w:val="20"/>
              </w:rPr>
              <w:t>kreatynina,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C10F34">
              <w:rPr>
                <w:rFonts w:ascii="Times New Roman" w:hAnsi="Times New Roman" w:cs="Times New Roman"/>
                <w:sz w:val="20"/>
                <w:szCs w:val="20"/>
              </w:rPr>
              <w:t>kwas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C10F34">
              <w:rPr>
                <w:rFonts w:ascii="Times New Roman" w:hAnsi="Times New Roman" w:cs="Times New Roman"/>
                <w:sz w:val="20"/>
                <w:szCs w:val="20"/>
              </w:rPr>
              <w:t>moczow</w:t>
            </w:r>
            <w:r w:rsidR="00586C6E" w:rsidRPr="00C10F34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207AE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39B" w:rsidRPr="00C10F3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39B" w:rsidRPr="00C10F34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586C6E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C10F3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C10F34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586C6E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C10F34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C10F34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586C6E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39B" w:rsidRPr="00C10F34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39B" w:rsidRPr="00C10F34">
              <w:rPr>
                <w:rFonts w:ascii="Times New Roman" w:hAnsi="Times New Roman" w:cs="Times New Roman"/>
                <w:sz w:val="20"/>
                <w:szCs w:val="20"/>
              </w:rPr>
              <w:t>LDH</w:t>
            </w:r>
            <w:r w:rsidR="00586C6E"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2DF43B4" w14:textId="2FA64B64" w:rsidR="00DA487C" w:rsidRPr="00C10F34" w:rsidRDefault="00E4639B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okresie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dostosowywania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dawki,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każdym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cyklem</w:t>
            </w:r>
            <w:r w:rsidR="00586C6E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</w:p>
          <w:p w14:paraId="265043D2" w14:textId="6E0EB37C" w:rsidR="00586C6E" w:rsidRPr="00C10F34" w:rsidRDefault="00E4639B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6C15D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71E9030" w14:textId="4FB6F0AE" w:rsidR="00644AD8" w:rsidRPr="00C10F34" w:rsidRDefault="00586C6E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biochemia: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kreatynina,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39B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39B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ALT.</w:t>
            </w:r>
          </w:p>
          <w:p w14:paraId="383C12B6" w14:textId="77777777" w:rsidR="007B6B35" w:rsidRPr="00C10F34" w:rsidRDefault="007B6B35" w:rsidP="00C10F34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7BBCA3" w14:textId="259447D0" w:rsidR="00322E07" w:rsidRPr="00C10F34" w:rsidRDefault="007B6B35" w:rsidP="00B962A0">
            <w:pPr>
              <w:pStyle w:val="Akapitzlist"/>
              <w:numPr>
                <w:ilvl w:val="1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azacytydyną doustną w monoterapii</w:t>
            </w:r>
          </w:p>
          <w:p w14:paraId="4493C490" w14:textId="6B223AA0" w:rsidR="007B6B35" w:rsidRPr="00C10F34" w:rsidRDefault="007B6B35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biopsja aspiracyjna szpiku w przypadku </w:t>
            </w:r>
            <w:r w:rsidR="005A3B9F" w:rsidRPr="00C10F34">
              <w:rPr>
                <w:rFonts w:ascii="Times New Roman" w:hAnsi="Times New Roman" w:cs="Times New Roman"/>
                <w:sz w:val="20"/>
                <w:szCs w:val="20"/>
              </w:rPr>
              <w:t>podejrzenia nawrotu/progresji choroby lub zgodnie ze wskazaniami medycznymi;</w:t>
            </w:r>
          </w:p>
          <w:p w14:paraId="6FD4102D" w14:textId="130E02F6" w:rsidR="005A3B9F" w:rsidRPr="00C10F34" w:rsidRDefault="005A3B9F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morfologia krwi z rozmazem – co drugi tydzień przez pierwsze 2 cykle leczenia</w:t>
            </w:r>
            <w:r w:rsidR="002008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(56 dni), a następnie przed rozpoczęciem każdego kolejnego cyklu leczenia. </w:t>
            </w:r>
          </w:p>
          <w:p w14:paraId="56B7AD56" w14:textId="2A2F074A" w:rsidR="005A3B9F" w:rsidRPr="00C10F34" w:rsidRDefault="005A3B9F" w:rsidP="00B962A0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 przypadku modyfikacji dawki leku konieczne dodatkowe monitorowanie morfologii co drugi tydzień przez następne 2 cykle leczenia, a następnie przed rozpoczęciem każdego kolejnego cyklu leczenia lub zgodnie ze wskazaniami medycznymi.</w:t>
            </w:r>
          </w:p>
          <w:p w14:paraId="1B30024A" w14:textId="5F819747" w:rsidR="005A3B9F" w:rsidRPr="00C10F34" w:rsidRDefault="005A3B9F" w:rsidP="00C10F34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FC754" w14:textId="7269FECF" w:rsidR="00C44ED3" w:rsidRPr="00C10F34" w:rsidRDefault="00540675" w:rsidP="00B962A0">
            <w:pPr>
              <w:pStyle w:val="Akapitzlist"/>
              <w:numPr>
                <w:ilvl w:val="1"/>
                <w:numId w:val="9"/>
              </w:numPr>
              <w:tabs>
                <w:tab w:val="left" w:pos="639"/>
              </w:tabs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gilterytynibem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5AD44050" w14:textId="6B212BBF" w:rsidR="00C44ED3" w:rsidRPr="00C10F34" w:rsidRDefault="00C44ED3" w:rsidP="00B962A0">
            <w:pPr>
              <w:pStyle w:val="Akapitzlist"/>
              <w:numPr>
                <w:ilvl w:val="3"/>
                <w:numId w:val="9"/>
              </w:numPr>
              <w:tabs>
                <w:tab w:val="left" w:pos="639"/>
              </w:tabs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biopsja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aspiracyjna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szpiku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trepanobiopsja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szpiku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suchej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biopsji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aspiracyjnej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pierwszym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tygodniu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2.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miesiąca,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następnie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miesiącach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leczenia;</w:t>
            </w:r>
          </w:p>
          <w:p w14:paraId="108E5272" w14:textId="6D460D00" w:rsidR="00C44ED3" w:rsidRPr="00C10F34" w:rsidRDefault="00C44ED3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3.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tygodniu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podawania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leku,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następnie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raz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miesiącu</w:t>
            </w:r>
            <w:r w:rsidR="009D4878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</w:p>
          <w:p w14:paraId="1D3F0807" w14:textId="11FEDA9E" w:rsidR="005C1BF7" w:rsidRPr="00C10F34" w:rsidRDefault="00E4639B" w:rsidP="00B962A0">
            <w:pPr>
              <w:pStyle w:val="Akapitzlist"/>
              <w:numPr>
                <w:ilvl w:val="4"/>
                <w:numId w:val="9"/>
              </w:numPr>
              <w:tabs>
                <w:tab w:val="left" w:pos="639"/>
              </w:tabs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morfologia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3122D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3122D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rozmazem</w:t>
            </w:r>
            <w:r w:rsidR="006C15D1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357F6312" w14:textId="4E54939D" w:rsidR="009D4878" w:rsidRPr="00C10F34" w:rsidRDefault="009D4878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biochemia: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C1BF7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kreatynina,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stężenie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potasu,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bilirubina,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AST,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ALT,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stężenie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magnezu,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kinaza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fosfokreatynowa,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fosfataza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alkaliczna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(ALP);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F62743B" w14:textId="1076240C" w:rsidR="009D4878" w:rsidRPr="00C10F34" w:rsidRDefault="005C1BF7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2.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3.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tygodniu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oraz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rozpoczęciem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pierwszym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tygodniu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każdego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trzech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kolejnych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miesięcy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541E3C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</w:p>
          <w:p w14:paraId="429E848D" w14:textId="67D409A3" w:rsidR="009D4878" w:rsidRPr="00C10F34" w:rsidRDefault="005C1BF7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EKG.</w:t>
            </w:r>
          </w:p>
          <w:p w14:paraId="4C829C8A" w14:textId="2511C493" w:rsidR="009D4878" w:rsidRPr="00C10F34" w:rsidRDefault="009D4878" w:rsidP="00C10F3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5AF105F" w14:textId="3E557080" w:rsidR="005A3B9F" w:rsidRPr="00B962A0" w:rsidRDefault="005A3B9F" w:rsidP="00B962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Określenie odpowiedzi na leczenie powinno być wykonywane z wykorzystaniem metody identycznej wykorzystanej podczas kwalifikowania do leczenia</w:t>
            </w:r>
            <w:r w:rsidR="00277076" w:rsidRPr="00B962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42E57EC4" w14:textId="2E6A375F" w:rsidR="005A3B9F" w:rsidRPr="00B962A0" w:rsidRDefault="005A3B9F" w:rsidP="00B962A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Kryteria odpowiedzi na leczenie należy stosować według aktualnych rekomendacji.</w:t>
            </w:r>
          </w:p>
          <w:p w14:paraId="3BDB04C3" w14:textId="77777777" w:rsidR="005A3B9F" w:rsidRPr="00C10F34" w:rsidRDefault="005A3B9F" w:rsidP="00C10F3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A3CCAF7" w14:textId="19C371D8" w:rsidR="009C2DB3" w:rsidRPr="00C10F34" w:rsidRDefault="009C2DB3" w:rsidP="00B962A0">
            <w:pPr>
              <w:pStyle w:val="Akapitzlist"/>
              <w:numPr>
                <w:ilvl w:val="0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247E3E51" w:rsidR="009C2DB3" w:rsidRPr="00C10F34" w:rsidRDefault="00E53428" w:rsidP="00B962A0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23C0BA" w14:textId="2E533BBF" w:rsidR="005A3B9F" w:rsidRPr="00C10F34" w:rsidRDefault="00E53428" w:rsidP="00B962A0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lekowyc</w:t>
            </w:r>
            <w:r w:rsidR="00DA00B8" w:rsidRPr="00C10F3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A3B9F" w:rsidRPr="00C10F34">
              <w:rPr>
                <w:rFonts w:ascii="Times New Roman" w:hAnsi="Times New Roman" w:cs="Times New Roman"/>
                <w:sz w:val="20"/>
                <w:szCs w:val="20"/>
              </w:rPr>
              <w:t>, w tym przekazywanie danych dotyczących</w:t>
            </w:r>
            <w:r w:rsidR="00980B4E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655" w:rsidRPr="00C10F34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5A3B9F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wskaźników skuteczności terapii</w:t>
            </w:r>
            <w:r w:rsidR="00B13655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15221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dla których jest możliwe ich </w:t>
            </w:r>
            <w:r w:rsidR="00B13655" w:rsidRPr="00C10F34">
              <w:rPr>
                <w:rFonts w:ascii="Times New Roman" w:hAnsi="Times New Roman" w:cs="Times New Roman"/>
                <w:sz w:val="20"/>
                <w:szCs w:val="20"/>
              </w:rPr>
              <w:t>określ</w:t>
            </w:r>
            <w:r w:rsidR="00C15221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enie </w:t>
            </w:r>
            <w:r w:rsidR="00B13655" w:rsidRPr="00C10F34">
              <w:rPr>
                <w:rFonts w:ascii="Times New Roman" w:hAnsi="Times New Roman" w:cs="Times New Roman"/>
                <w:sz w:val="20"/>
                <w:szCs w:val="20"/>
              </w:rPr>
              <w:t>przez lekarza prowadzącego dla indywidualnego pacjenta,</w:t>
            </w:r>
            <w:r w:rsidR="003F2461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spośród:</w:t>
            </w:r>
          </w:p>
          <w:p w14:paraId="296E31CD" w14:textId="77777777" w:rsidR="00DF5948" w:rsidRPr="00C10F34" w:rsidRDefault="005A3B9F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całkowita odpowiedź (CR)</w:t>
            </w:r>
            <w:r w:rsidR="00DF5948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5FDDAA6E" w14:textId="7E5257D1" w:rsidR="005A3B9F" w:rsidRPr="00C10F34" w:rsidRDefault="005A3B9F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częściowa odpowiedź (PR)</w:t>
            </w:r>
            <w:r w:rsidR="00DF5948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E03266" w14:textId="0C3D37EE" w:rsidR="005A3B9F" w:rsidRPr="00C10F34" w:rsidRDefault="005A3B9F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choroba stabilna</w:t>
            </w:r>
            <w:r w:rsidR="00DF5948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(SD)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40DC23E" w14:textId="77777777" w:rsidR="00DF5948" w:rsidRPr="00C10F34" w:rsidRDefault="00DF5948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brak odpowiedzi (NR),</w:t>
            </w:r>
          </w:p>
          <w:p w14:paraId="14FA573D" w14:textId="2658473D" w:rsidR="005A3B9F" w:rsidRPr="00C10F34" w:rsidRDefault="00DF5948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progresja choroby (PD)</w:t>
            </w:r>
            <w:r w:rsidR="005A3B9F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8D6BBD" w14:textId="1B5A5977" w:rsidR="00CF67B8" w:rsidRPr="00C10F34" w:rsidRDefault="00CF67B8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przeżycie bez progresji choroby (PFS),</w:t>
            </w:r>
          </w:p>
          <w:p w14:paraId="62F16D04" w14:textId="69BE040A" w:rsidR="005A3B9F" w:rsidRPr="00C10F34" w:rsidRDefault="005A3B9F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przeżycie całkowite (OS)</w:t>
            </w:r>
            <w:r w:rsidR="00CF67B8"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4F4E65" w14:textId="1814DFAF" w:rsidR="00687D33" w:rsidRPr="00C10F34" w:rsidRDefault="00E53428" w:rsidP="00B962A0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C10F3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C10F34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700B8" w14:textId="77777777" w:rsidR="00CF4ADE" w:rsidRDefault="00CF4ADE" w:rsidP="00687D33">
      <w:pPr>
        <w:spacing w:after="0" w:line="240" w:lineRule="auto"/>
      </w:pPr>
      <w:r>
        <w:separator/>
      </w:r>
    </w:p>
  </w:endnote>
  <w:endnote w:type="continuationSeparator" w:id="0">
    <w:p w14:paraId="640E75EA" w14:textId="77777777" w:rsidR="00CF4ADE" w:rsidRDefault="00CF4ADE" w:rsidP="00687D33">
      <w:pPr>
        <w:spacing w:after="0" w:line="240" w:lineRule="auto"/>
      </w:pPr>
      <w:r>
        <w:continuationSeparator/>
      </w:r>
    </w:p>
  </w:endnote>
  <w:endnote w:type="continuationNotice" w:id="1">
    <w:p w14:paraId="22760E31" w14:textId="77777777" w:rsidR="00CF4ADE" w:rsidRDefault="00CF4A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38E70" w14:textId="77777777" w:rsidR="001F0BF2" w:rsidRDefault="001F0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B0739" w14:textId="77777777" w:rsidR="00CF4ADE" w:rsidRDefault="00CF4ADE" w:rsidP="00687D33">
      <w:pPr>
        <w:spacing w:after="0" w:line="240" w:lineRule="auto"/>
      </w:pPr>
      <w:r>
        <w:separator/>
      </w:r>
    </w:p>
  </w:footnote>
  <w:footnote w:type="continuationSeparator" w:id="0">
    <w:p w14:paraId="26E7B763" w14:textId="77777777" w:rsidR="00CF4ADE" w:rsidRDefault="00CF4ADE" w:rsidP="00687D33">
      <w:pPr>
        <w:spacing w:after="0" w:line="240" w:lineRule="auto"/>
      </w:pPr>
      <w:r>
        <w:continuationSeparator/>
      </w:r>
    </w:p>
  </w:footnote>
  <w:footnote w:type="continuationNotice" w:id="1">
    <w:p w14:paraId="32C3061C" w14:textId="77777777" w:rsidR="00CF4ADE" w:rsidRDefault="00CF4A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08781" w14:textId="77777777" w:rsidR="001F0BF2" w:rsidRDefault="001F0B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F99C8A3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/>
        <w:i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043593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D047FE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02E3FFA"/>
    <w:multiLevelType w:val="multilevel"/>
    <w:tmpl w:val="22F46F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325A79"/>
    <w:multiLevelType w:val="multilevel"/>
    <w:tmpl w:val="E44E3E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7F5F30FD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5"/>
  </w:num>
  <w:num w:numId="2" w16cid:durableId="453909397">
    <w:abstractNumId w:val="7"/>
  </w:num>
  <w:num w:numId="3" w16cid:durableId="846090562">
    <w:abstractNumId w:val="0"/>
  </w:num>
  <w:num w:numId="4" w16cid:durableId="299268111">
    <w:abstractNumId w:val="4"/>
  </w:num>
  <w:num w:numId="5" w16cid:durableId="1914003064">
    <w:abstractNumId w:val="6"/>
  </w:num>
  <w:num w:numId="6" w16cid:durableId="381711144">
    <w:abstractNumId w:val="3"/>
  </w:num>
  <w:num w:numId="7" w16cid:durableId="354692971">
    <w:abstractNumId w:val="8"/>
  </w:num>
  <w:num w:numId="8" w16cid:durableId="49618896">
    <w:abstractNumId w:val="1"/>
  </w:num>
  <w:num w:numId="9" w16cid:durableId="73231138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113DD"/>
    <w:rsid w:val="00011D88"/>
    <w:rsid w:val="00014738"/>
    <w:rsid w:val="0001571C"/>
    <w:rsid w:val="0001698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5FC9"/>
    <w:rsid w:val="00046499"/>
    <w:rsid w:val="000466CA"/>
    <w:rsid w:val="00047B3C"/>
    <w:rsid w:val="000524CC"/>
    <w:rsid w:val="00052D45"/>
    <w:rsid w:val="00052FDB"/>
    <w:rsid w:val="00053B83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800CC"/>
    <w:rsid w:val="00081CB1"/>
    <w:rsid w:val="00087BBC"/>
    <w:rsid w:val="00087D92"/>
    <w:rsid w:val="00090C2D"/>
    <w:rsid w:val="00093560"/>
    <w:rsid w:val="00093B4C"/>
    <w:rsid w:val="00095012"/>
    <w:rsid w:val="0009531F"/>
    <w:rsid w:val="00095D55"/>
    <w:rsid w:val="000965C3"/>
    <w:rsid w:val="000A01E5"/>
    <w:rsid w:val="000A617D"/>
    <w:rsid w:val="000A634E"/>
    <w:rsid w:val="000A76A9"/>
    <w:rsid w:val="000B0F86"/>
    <w:rsid w:val="000B1ED4"/>
    <w:rsid w:val="000B42BB"/>
    <w:rsid w:val="000B5858"/>
    <w:rsid w:val="000B7FE1"/>
    <w:rsid w:val="000C2143"/>
    <w:rsid w:val="000C323A"/>
    <w:rsid w:val="000C3AEA"/>
    <w:rsid w:val="000C47EB"/>
    <w:rsid w:val="000C4C79"/>
    <w:rsid w:val="000C7210"/>
    <w:rsid w:val="000D08F6"/>
    <w:rsid w:val="000D5916"/>
    <w:rsid w:val="000E0057"/>
    <w:rsid w:val="000E3FC3"/>
    <w:rsid w:val="000F21FF"/>
    <w:rsid w:val="0010044D"/>
    <w:rsid w:val="0010069B"/>
    <w:rsid w:val="00101248"/>
    <w:rsid w:val="00102271"/>
    <w:rsid w:val="00102AE3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2C2C"/>
    <w:rsid w:val="001349B0"/>
    <w:rsid w:val="00135243"/>
    <w:rsid w:val="00135B5F"/>
    <w:rsid w:val="001379EE"/>
    <w:rsid w:val="00137D92"/>
    <w:rsid w:val="001400D1"/>
    <w:rsid w:val="00140FE5"/>
    <w:rsid w:val="001434F3"/>
    <w:rsid w:val="00145B53"/>
    <w:rsid w:val="00145E5D"/>
    <w:rsid w:val="0014670D"/>
    <w:rsid w:val="00146D02"/>
    <w:rsid w:val="00150641"/>
    <w:rsid w:val="0015391B"/>
    <w:rsid w:val="001556CE"/>
    <w:rsid w:val="00163D1A"/>
    <w:rsid w:val="001642C4"/>
    <w:rsid w:val="0016438D"/>
    <w:rsid w:val="001655F7"/>
    <w:rsid w:val="00165AEB"/>
    <w:rsid w:val="00166017"/>
    <w:rsid w:val="00166134"/>
    <w:rsid w:val="00173552"/>
    <w:rsid w:val="0017388B"/>
    <w:rsid w:val="0017558F"/>
    <w:rsid w:val="00175C79"/>
    <w:rsid w:val="00177763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A0FEB"/>
    <w:rsid w:val="001A4F0E"/>
    <w:rsid w:val="001A6AA0"/>
    <w:rsid w:val="001A6D6D"/>
    <w:rsid w:val="001B2161"/>
    <w:rsid w:val="001B5FE0"/>
    <w:rsid w:val="001B6797"/>
    <w:rsid w:val="001C261A"/>
    <w:rsid w:val="001D0F83"/>
    <w:rsid w:val="001D1303"/>
    <w:rsid w:val="001D15F3"/>
    <w:rsid w:val="001D1AFC"/>
    <w:rsid w:val="001D29BC"/>
    <w:rsid w:val="001D36F6"/>
    <w:rsid w:val="001D5B0C"/>
    <w:rsid w:val="001E0520"/>
    <w:rsid w:val="001E3940"/>
    <w:rsid w:val="001E4058"/>
    <w:rsid w:val="001F0BF2"/>
    <w:rsid w:val="001F323C"/>
    <w:rsid w:val="001F6448"/>
    <w:rsid w:val="001F691A"/>
    <w:rsid w:val="001F734C"/>
    <w:rsid w:val="00200835"/>
    <w:rsid w:val="00200C20"/>
    <w:rsid w:val="0020147E"/>
    <w:rsid w:val="00204989"/>
    <w:rsid w:val="00210853"/>
    <w:rsid w:val="0021172D"/>
    <w:rsid w:val="0021220A"/>
    <w:rsid w:val="002147DF"/>
    <w:rsid w:val="002168E9"/>
    <w:rsid w:val="002177F1"/>
    <w:rsid w:val="00217A21"/>
    <w:rsid w:val="00220BE5"/>
    <w:rsid w:val="0022336C"/>
    <w:rsid w:val="00223723"/>
    <w:rsid w:val="00224921"/>
    <w:rsid w:val="0022569C"/>
    <w:rsid w:val="002358F9"/>
    <w:rsid w:val="0023636F"/>
    <w:rsid w:val="0024554B"/>
    <w:rsid w:val="002517A0"/>
    <w:rsid w:val="00251A78"/>
    <w:rsid w:val="00254EF2"/>
    <w:rsid w:val="00260EC5"/>
    <w:rsid w:val="00261FF9"/>
    <w:rsid w:val="00262896"/>
    <w:rsid w:val="002650CF"/>
    <w:rsid w:val="0026588B"/>
    <w:rsid w:val="00266520"/>
    <w:rsid w:val="00267FA7"/>
    <w:rsid w:val="002716CE"/>
    <w:rsid w:val="00273255"/>
    <w:rsid w:val="00274D5F"/>
    <w:rsid w:val="00275069"/>
    <w:rsid w:val="002761A0"/>
    <w:rsid w:val="00277076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26A0"/>
    <w:rsid w:val="002937A1"/>
    <w:rsid w:val="00295F36"/>
    <w:rsid w:val="00297632"/>
    <w:rsid w:val="002B0846"/>
    <w:rsid w:val="002B45E4"/>
    <w:rsid w:val="002B4619"/>
    <w:rsid w:val="002C0455"/>
    <w:rsid w:val="002C1067"/>
    <w:rsid w:val="002C1496"/>
    <w:rsid w:val="002C77E4"/>
    <w:rsid w:val="002D1779"/>
    <w:rsid w:val="002D3F99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114A"/>
    <w:rsid w:val="00305EE4"/>
    <w:rsid w:val="00307001"/>
    <w:rsid w:val="003103B9"/>
    <w:rsid w:val="003116FE"/>
    <w:rsid w:val="003141BE"/>
    <w:rsid w:val="00315934"/>
    <w:rsid w:val="00316ADB"/>
    <w:rsid w:val="0032281D"/>
    <w:rsid w:val="00322E07"/>
    <w:rsid w:val="00323081"/>
    <w:rsid w:val="00330174"/>
    <w:rsid w:val="003302B6"/>
    <w:rsid w:val="00332197"/>
    <w:rsid w:val="00335386"/>
    <w:rsid w:val="003362C4"/>
    <w:rsid w:val="00336C57"/>
    <w:rsid w:val="00342BC3"/>
    <w:rsid w:val="00343CAC"/>
    <w:rsid w:val="00344EAF"/>
    <w:rsid w:val="00346826"/>
    <w:rsid w:val="0035220F"/>
    <w:rsid w:val="00356192"/>
    <w:rsid w:val="003566FB"/>
    <w:rsid w:val="00364AF5"/>
    <w:rsid w:val="003729BE"/>
    <w:rsid w:val="00372AA6"/>
    <w:rsid w:val="0037425F"/>
    <w:rsid w:val="0037489F"/>
    <w:rsid w:val="003749A0"/>
    <w:rsid w:val="00374BFC"/>
    <w:rsid w:val="003759E5"/>
    <w:rsid w:val="00375ADD"/>
    <w:rsid w:val="00377C29"/>
    <w:rsid w:val="00380502"/>
    <w:rsid w:val="00383AB7"/>
    <w:rsid w:val="00384DFD"/>
    <w:rsid w:val="00387354"/>
    <w:rsid w:val="00390885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4E84"/>
    <w:rsid w:val="003A5559"/>
    <w:rsid w:val="003B4D00"/>
    <w:rsid w:val="003B5245"/>
    <w:rsid w:val="003B7804"/>
    <w:rsid w:val="003C21AB"/>
    <w:rsid w:val="003C2CDC"/>
    <w:rsid w:val="003C3289"/>
    <w:rsid w:val="003C4BD7"/>
    <w:rsid w:val="003C653D"/>
    <w:rsid w:val="003D19E1"/>
    <w:rsid w:val="003E0B8E"/>
    <w:rsid w:val="003E147B"/>
    <w:rsid w:val="003E5C10"/>
    <w:rsid w:val="003E67B2"/>
    <w:rsid w:val="003E7F57"/>
    <w:rsid w:val="003F11B6"/>
    <w:rsid w:val="003F2461"/>
    <w:rsid w:val="003F26E9"/>
    <w:rsid w:val="003F4211"/>
    <w:rsid w:val="003F6BE1"/>
    <w:rsid w:val="003F70AC"/>
    <w:rsid w:val="003F73E8"/>
    <w:rsid w:val="00401C65"/>
    <w:rsid w:val="004104AD"/>
    <w:rsid w:val="00410D04"/>
    <w:rsid w:val="0041288D"/>
    <w:rsid w:val="00412BCF"/>
    <w:rsid w:val="004134A7"/>
    <w:rsid w:val="004172B0"/>
    <w:rsid w:val="004207AE"/>
    <w:rsid w:val="004213D0"/>
    <w:rsid w:val="00422F3B"/>
    <w:rsid w:val="0042338F"/>
    <w:rsid w:val="00425CC5"/>
    <w:rsid w:val="0042640C"/>
    <w:rsid w:val="00426B56"/>
    <w:rsid w:val="00434D6B"/>
    <w:rsid w:val="00435124"/>
    <w:rsid w:val="0043594B"/>
    <w:rsid w:val="00440FE0"/>
    <w:rsid w:val="00442956"/>
    <w:rsid w:val="00447EA7"/>
    <w:rsid w:val="004516BB"/>
    <w:rsid w:val="00461279"/>
    <w:rsid w:val="00461F75"/>
    <w:rsid w:val="00462AE0"/>
    <w:rsid w:val="00463C7E"/>
    <w:rsid w:val="00464195"/>
    <w:rsid w:val="0046650A"/>
    <w:rsid w:val="0047106A"/>
    <w:rsid w:val="00473641"/>
    <w:rsid w:val="004754DE"/>
    <w:rsid w:val="004760AF"/>
    <w:rsid w:val="0047702E"/>
    <w:rsid w:val="004810CC"/>
    <w:rsid w:val="0048143F"/>
    <w:rsid w:val="00481ACF"/>
    <w:rsid w:val="00483FE7"/>
    <w:rsid w:val="00487D50"/>
    <w:rsid w:val="00493DCD"/>
    <w:rsid w:val="00496260"/>
    <w:rsid w:val="00496844"/>
    <w:rsid w:val="0049684D"/>
    <w:rsid w:val="004A138B"/>
    <w:rsid w:val="004A1600"/>
    <w:rsid w:val="004A1CAF"/>
    <w:rsid w:val="004A1E93"/>
    <w:rsid w:val="004A3D33"/>
    <w:rsid w:val="004A59F4"/>
    <w:rsid w:val="004A70EE"/>
    <w:rsid w:val="004A7B11"/>
    <w:rsid w:val="004B0C04"/>
    <w:rsid w:val="004B35BF"/>
    <w:rsid w:val="004B5291"/>
    <w:rsid w:val="004B5D96"/>
    <w:rsid w:val="004B7EAA"/>
    <w:rsid w:val="004B7ECD"/>
    <w:rsid w:val="004B7F56"/>
    <w:rsid w:val="004C1AFC"/>
    <w:rsid w:val="004C2D5A"/>
    <w:rsid w:val="004C2FE1"/>
    <w:rsid w:val="004C4C49"/>
    <w:rsid w:val="004D1195"/>
    <w:rsid w:val="004D1434"/>
    <w:rsid w:val="004D1C45"/>
    <w:rsid w:val="004D2510"/>
    <w:rsid w:val="004E249A"/>
    <w:rsid w:val="004E2E2B"/>
    <w:rsid w:val="004E2FE9"/>
    <w:rsid w:val="004E38FF"/>
    <w:rsid w:val="004E4084"/>
    <w:rsid w:val="004F35AD"/>
    <w:rsid w:val="004F3AAE"/>
    <w:rsid w:val="004F4976"/>
    <w:rsid w:val="004F6D4D"/>
    <w:rsid w:val="004F7453"/>
    <w:rsid w:val="00500CF1"/>
    <w:rsid w:val="00503AB8"/>
    <w:rsid w:val="005062EF"/>
    <w:rsid w:val="00506905"/>
    <w:rsid w:val="00507A3F"/>
    <w:rsid w:val="0051253E"/>
    <w:rsid w:val="00512CB3"/>
    <w:rsid w:val="0051424B"/>
    <w:rsid w:val="00526AD7"/>
    <w:rsid w:val="00527AB9"/>
    <w:rsid w:val="00531B76"/>
    <w:rsid w:val="00536BCA"/>
    <w:rsid w:val="00540675"/>
    <w:rsid w:val="00541E3C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3267"/>
    <w:rsid w:val="0057343E"/>
    <w:rsid w:val="00573B7E"/>
    <w:rsid w:val="0057709D"/>
    <w:rsid w:val="00577F8C"/>
    <w:rsid w:val="00580D2E"/>
    <w:rsid w:val="0058604A"/>
    <w:rsid w:val="00586C6E"/>
    <w:rsid w:val="00592466"/>
    <w:rsid w:val="00595CED"/>
    <w:rsid w:val="00596468"/>
    <w:rsid w:val="005A2520"/>
    <w:rsid w:val="005A3B9F"/>
    <w:rsid w:val="005A652A"/>
    <w:rsid w:val="005B07F1"/>
    <w:rsid w:val="005B4603"/>
    <w:rsid w:val="005B59D3"/>
    <w:rsid w:val="005B678D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67BB"/>
    <w:rsid w:val="005F746D"/>
    <w:rsid w:val="006004FC"/>
    <w:rsid w:val="00600E25"/>
    <w:rsid w:val="00601603"/>
    <w:rsid w:val="006038D7"/>
    <w:rsid w:val="0060616F"/>
    <w:rsid w:val="0060713C"/>
    <w:rsid w:val="006113AA"/>
    <w:rsid w:val="00617F7A"/>
    <w:rsid w:val="006208C1"/>
    <w:rsid w:val="00622147"/>
    <w:rsid w:val="0062601E"/>
    <w:rsid w:val="0063022D"/>
    <w:rsid w:val="00630F30"/>
    <w:rsid w:val="00630FC9"/>
    <w:rsid w:val="0063226E"/>
    <w:rsid w:val="00632518"/>
    <w:rsid w:val="00635D31"/>
    <w:rsid w:val="00636BC7"/>
    <w:rsid w:val="00642AA4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70C55"/>
    <w:rsid w:val="0067206F"/>
    <w:rsid w:val="0067583C"/>
    <w:rsid w:val="00680B80"/>
    <w:rsid w:val="0068243D"/>
    <w:rsid w:val="006834AC"/>
    <w:rsid w:val="00687D33"/>
    <w:rsid w:val="00691866"/>
    <w:rsid w:val="006937F3"/>
    <w:rsid w:val="00694AEB"/>
    <w:rsid w:val="00694C7B"/>
    <w:rsid w:val="00695F92"/>
    <w:rsid w:val="0069745F"/>
    <w:rsid w:val="006A15DD"/>
    <w:rsid w:val="006A3CD2"/>
    <w:rsid w:val="006A5A5E"/>
    <w:rsid w:val="006A6E24"/>
    <w:rsid w:val="006B0A6D"/>
    <w:rsid w:val="006B293E"/>
    <w:rsid w:val="006B53D7"/>
    <w:rsid w:val="006B6B60"/>
    <w:rsid w:val="006C0C20"/>
    <w:rsid w:val="006C15D1"/>
    <w:rsid w:val="006C59D5"/>
    <w:rsid w:val="006C657B"/>
    <w:rsid w:val="006D20E5"/>
    <w:rsid w:val="006D2BFC"/>
    <w:rsid w:val="006D61C9"/>
    <w:rsid w:val="006E1501"/>
    <w:rsid w:val="006E2CDC"/>
    <w:rsid w:val="006E5A99"/>
    <w:rsid w:val="006E61B3"/>
    <w:rsid w:val="006F0683"/>
    <w:rsid w:val="006F2006"/>
    <w:rsid w:val="0070207B"/>
    <w:rsid w:val="0070264B"/>
    <w:rsid w:val="00704F09"/>
    <w:rsid w:val="0070537F"/>
    <w:rsid w:val="007129A6"/>
    <w:rsid w:val="00714984"/>
    <w:rsid w:val="0072106F"/>
    <w:rsid w:val="00727682"/>
    <w:rsid w:val="00730CBE"/>
    <w:rsid w:val="007323E6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49D8"/>
    <w:rsid w:val="00760581"/>
    <w:rsid w:val="00760E2B"/>
    <w:rsid w:val="0076398C"/>
    <w:rsid w:val="00763D4C"/>
    <w:rsid w:val="0076684D"/>
    <w:rsid w:val="007704D9"/>
    <w:rsid w:val="00772CC5"/>
    <w:rsid w:val="00780244"/>
    <w:rsid w:val="00780F7A"/>
    <w:rsid w:val="00781AB6"/>
    <w:rsid w:val="00781DEF"/>
    <w:rsid w:val="00786BEB"/>
    <w:rsid w:val="007877DF"/>
    <w:rsid w:val="00787922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2982"/>
    <w:rsid w:val="007B5E24"/>
    <w:rsid w:val="007B620C"/>
    <w:rsid w:val="007B6B35"/>
    <w:rsid w:val="007B6C4C"/>
    <w:rsid w:val="007C077B"/>
    <w:rsid w:val="007C0E1E"/>
    <w:rsid w:val="007C1CB0"/>
    <w:rsid w:val="007C413C"/>
    <w:rsid w:val="007C4FFD"/>
    <w:rsid w:val="007C68F7"/>
    <w:rsid w:val="007D0516"/>
    <w:rsid w:val="007D2644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69EB"/>
    <w:rsid w:val="00804774"/>
    <w:rsid w:val="008061BC"/>
    <w:rsid w:val="00806D0A"/>
    <w:rsid w:val="00807D9A"/>
    <w:rsid w:val="00811666"/>
    <w:rsid w:val="00811C42"/>
    <w:rsid w:val="008128FB"/>
    <w:rsid w:val="00816118"/>
    <w:rsid w:val="00816B4C"/>
    <w:rsid w:val="00817F33"/>
    <w:rsid w:val="00827F9B"/>
    <w:rsid w:val="00830290"/>
    <w:rsid w:val="00831E64"/>
    <w:rsid w:val="0083384A"/>
    <w:rsid w:val="008353E0"/>
    <w:rsid w:val="008370D0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438E"/>
    <w:rsid w:val="00875763"/>
    <w:rsid w:val="0087757C"/>
    <w:rsid w:val="008777AA"/>
    <w:rsid w:val="00890119"/>
    <w:rsid w:val="00890185"/>
    <w:rsid w:val="00891AB6"/>
    <w:rsid w:val="00894836"/>
    <w:rsid w:val="008949EE"/>
    <w:rsid w:val="00895D38"/>
    <w:rsid w:val="00896A4A"/>
    <w:rsid w:val="00896EAF"/>
    <w:rsid w:val="008972E3"/>
    <w:rsid w:val="008A0E5D"/>
    <w:rsid w:val="008A1C09"/>
    <w:rsid w:val="008B316F"/>
    <w:rsid w:val="008B7185"/>
    <w:rsid w:val="008C151D"/>
    <w:rsid w:val="008C189A"/>
    <w:rsid w:val="008C19CD"/>
    <w:rsid w:val="008C1FE6"/>
    <w:rsid w:val="008C59CE"/>
    <w:rsid w:val="008D0217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79C4"/>
    <w:rsid w:val="00904A84"/>
    <w:rsid w:val="00907E23"/>
    <w:rsid w:val="00912F7D"/>
    <w:rsid w:val="0091553B"/>
    <w:rsid w:val="009163E0"/>
    <w:rsid w:val="00916DA8"/>
    <w:rsid w:val="009175DF"/>
    <w:rsid w:val="00922E11"/>
    <w:rsid w:val="00925C32"/>
    <w:rsid w:val="009301E8"/>
    <w:rsid w:val="009328FF"/>
    <w:rsid w:val="00934F40"/>
    <w:rsid w:val="00935CEF"/>
    <w:rsid w:val="0093702C"/>
    <w:rsid w:val="009374A3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1F81"/>
    <w:rsid w:val="00963A53"/>
    <w:rsid w:val="0096482C"/>
    <w:rsid w:val="00970E64"/>
    <w:rsid w:val="00974656"/>
    <w:rsid w:val="00975DC7"/>
    <w:rsid w:val="00980B4E"/>
    <w:rsid w:val="0098115D"/>
    <w:rsid w:val="0098152C"/>
    <w:rsid w:val="009827C8"/>
    <w:rsid w:val="00983118"/>
    <w:rsid w:val="00983734"/>
    <w:rsid w:val="00984A06"/>
    <w:rsid w:val="009866A2"/>
    <w:rsid w:val="00987F92"/>
    <w:rsid w:val="00991114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3AC9"/>
    <w:rsid w:val="009D4878"/>
    <w:rsid w:val="009D6900"/>
    <w:rsid w:val="009E0491"/>
    <w:rsid w:val="009E3B29"/>
    <w:rsid w:val="009E4F27"/>
    <w:rsid w:val="009E5650"/>
    <w:rsid w:val="009F046F"/>
    <w:rsid w:val="009F13A2"/>
    <w:rsid w:val="009F40D9"/>
    <w:rsid w:val="009F4E96"/>
    <w:rsid w:val="009F6692"/>
    <w:rsid w:val="00A00ABB"/>
    <w:rsid w:val="00A00C7D"/>
    <w:rsid w:val="00A02159"/>
    <w:rsid w:val="00A05098"/>
    <w:rsid w:val="00A0557A"/>
    <w:rsid w:val="00A06E84"/>
    <w:rsid w:val="00A072EE"/>
    <w:rsid w:val="00A1412B"/>
    <w:rsid w:val="00A154A6"/>
    <w:rsid w:val="00A2003F"/>
    <w:rsid w:val="00A20CB8"/>
    <w:rsid w:val="00A20FAD"/>
    <w:rsid w:val="00A23684"/>
    <w:rsid w:val="00A27CCD"/>
    <w:rsid w:val="00A30156"/>
    <w:rsid w:val="00A31C75"/>
    <w:rsid w:val="00A31D47"/>
    <w:rsid w:val="00A365D1"/>
    <w:rsid w:val="00A40D6A"/>
    <w:rsid w:val="00A42865"/>
    <w:rsid w:val="00A455A0"/>
    <w:rsid w:val="00A50FA7"/>
    <w:rsid w:val="00A51038"/>
    <w:rsid w:val="00A569B3"/>
    <w:rsid w:val="00A57E5D"/>
    <w:rsid w:val="00A61B40"/>
    <w:rsid w:val="00A62FA9"/>
    <w:rsid w:val="00A64788"/>
    <w:rsid w:val="00A67CE9"/>
    <w:rsid w:val="00A72F99"/>
    <w:rsid w:val="00A734E4"/>
    <w:rsid w:val="00A7424B"/>
    <w:rsid w:val="00A8163E"/>
    <w:rsid w:val="00A81B4E"/>
    <w:rsid w:val="00A86284"/>
    <w:rsid w:val="00A92033"/>
    <w:rsid w:val="00A9711C"/>
    <w:rsid w:val="00A97140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8E5"/>
    <w:rsid w:val="00AC15E6"/>
    <w:rsid w:val="00AC7939"/>
    <w:rsid w:val="00AD26A9"/>
    <w:rsid w:val="00AD2FDB"/>
    <w:rsid w:val="00AD4206"/>
    <w:rsid w:val="00AD4681"/>
    <w:rsid w:val="00AD6F24"/>
    <w:rsid w:val="00AD6F58"/>
    <w:rsid w:val="00AE0788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B030AD"/>
    <w:rsid w:val="00B04A64"/>
    <w:rsid w:val="00B055A8"/>
    <w:rsid w:val="00B06545"/>
    <w:rsid w:val="00B1161C"/>
    <w:rsid w:val="00B13655"/>
    <w:rsid w:val="00B14C08"/>
    <w:rsid w:val="00B15EA5"/>
    <w:rsid w:val="00B161CB"/>
    <w:rsid w:val="00B168A3"/>
    <w:rsid w:val="00B17934"/>
    <w:rsid w:val="00B22264"/>
    <w:rsid w:val="00B24DBE"/>
    <w:rsid w:val="00B25866"/>
    <w:rsid w:val="00B25DD6"/>
    <w:rsid w:val="00B27557"/>
    <w:rsid w:val="00B4289E"/>
    <w:rsid w:val="00B4664C"/>
    <w:rsid w:val="00B467D0"/>
    <w:rsid w:val="00B50A3B"/>
    <w:rsid w:val="00B52602"/>
    <w:rsid w:val="00B537AE"/>
    <w:rsid w:val="00B5507B"/>
    <w:rsid w:val="00B55369"/>
    <w:rsid w:val="00B55EC7"/>
    <w:rsid w:val="00B56C97"/>
    <w:rsid w:val="00B60D96"/>
    <w:rsid w:val="00B71884"/>
    <w:rsid w:val="00B7400E"/>
    <w:rsid w:val="00B752FC"/>
    <w:rsid w:val="00B76AB9"/>
    <w:rsid w:val="00B81E15"/>
    <w:rsid w:val="00B8260B"/>
    <w:rsid w:val="00B83A1E"/>
    <w:rsid w:val="00B85B6E"/>
    <w:rsid w:val="00B92A4F"/>
    <w:rsid w:val="00B93AEC"/>
    <w:rsid w:val="00B962A0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D0559"/>
    <w:rsid w:val="00BD1088"/>
    <w:rsid w:val="00BD31DD"/>
    <w:rsid w:val="00BD4DC1"/>
    <w:rsid w:val="00BD75CE"/>
    <w:rsid w:val="00BD7937"/>
    <w:rsid w:val="00BE2C78"/>
    <w:rsid w:val="00BE31D3"/>
    <w:rsid w:val="00BE5D19"/>
    <w:rsid w:val="00BE6BF3"/>
    <w:rsid w:val="00BF096E"/>
    <w:rsid w:val="00BF152A"/>
    <w:rsid w:val="00BF1EA0"/>
    <w:rsid w:val="00BF5ACD"/>
    <w:rsid w:val="00C01EBB"/>
    <w:rsid w:val="00C02B31"/>
    <w:rsid w:val="00C03ECF"/>
    <w:rsid w:val="00C04A70"/>
    <w:rsid w:val="00C0511C"/>
    <w:rsid w:val="00C10F34"/>
    <w:rsid w:val="00C12291"/>
    <w:rsid w:val="00C12A28"/>
    <w:rsid w:val="00C13A28"/>
    <w:rsid w:val="00C14340"/>
    <w:rsid w:val="00C14708"/>
    <w:rsid w:val="00C15221"/>
    <w:rsid w:val="00C17B36"/>
    <w:rsid w:val="00C22934"/>
    <w:rsid w:val="00C24453"/>
    <w:rsid w:val="00C26B50"/>
    <w:rsid w:val="00C273D5"/>
    <w:rsid w:val="00C27C5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15B7"/>
    <w:rsid w:val="00C52307"/>
    <w:rsid w:val="00C52560"/>
    <w:rsid w:val="00C54D12"/>
    <w:rsid w:val="00C55AA1"/>
    <w:rsid w:val="00C55C18"/>
    <w:rsid w:val="00C5607F"/>
    <w:rsid w:val="00C5670A"/>
    <w:rsid w:val="00C56B2F"/>
    <w:rsid w:val="00C6028E"/>
    <w:rsid w:val="00C61738"/>
    <w:rsid w:val="00C64128"/>
    <w:rsid w:val="00C6561F"/>
    <w:rsid w:val="00C70650"/>
    <w:rsid w:val="00C734EB"/>
    <w:rsid w:val="00C7620B"/>
    <w:rsid w:val="00C7782B"/>
    <w:rsid w:val="00C80975"/>
    <w:rsid w:val="00C80A58"/>
    <w:rsid w:val="00C82A88"/>
    <w:rsid w:val="00C83BC1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2829"/>
    <w:rsid w:val="00CA4A78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6FF2"/>
    <w:rsid w:val="00CD3E89"/>
    <w:rsid w:val="00CD519C"/>
    <w:rsid w:val="00CE3CDE"/>
    <w:rsid w:val="00CE4505"/>
    <w:rsid w:val="00CE4644"/>
    <w:rsid w:val="00CE6F6A"/>
    <w:rsid w:val="00CF0607"/>
    <w:rsid w:val="00CF09B5"/>
    <w:rsid w:val="00CF1930"/>
    <w:rsid w:val="00CF2EBB"/>
    <w:rsid w:val="00CF4ADE"/>
    <w:rsid w:val="00CF67B8"/>
    <w:rsid w:val="00CF7521"/>
    <w:rsid w:val="00CF79B7"/>
    <w:rsid w:val="00D00C9A"/>
    <w:rsid w:val="00D0263D"/>
    <w:rsid w:val="00D045A2"/>
    <w:rsid w:val="00D04F6D"/>
    <w:rsid w:val="00D0654B"/>
    <w:rsid w:val="00D10AA2"/>
    <w:rsid w:val="00D10D06"/>
    <w:rsid w:val="00D11028"/>
    <w:rsid w:val="00D122D0"/>
    <w:rsid w:val="00D15851"/>
    <w:rsid w:val="00D16ADD"/>
    <w:rsid w:val="00D17165"/>
    <w:rsid w:val="00D25063"/>
    <w:rsid w:val="00D26D95"/>
    <w:rsid w:val="00D32B27"/>
    <w:rsid w:val="00D34AD7"/>
    <w:rsid w:val="00D35568"/>
    <w:rsid w:val="00D35ACA"/>
    <w:rsid w:val="00D40549"/>
    <w:rsid w:val="00D406F7"/>
    <w:rsid w:val="00D4195E"/>
    <w:rsid w:val="00D41FA4"/>
    <w:rsid w:val="00D43AA6"/>
    <w:rsid w:val="00D45924"/>
    <w:rsid w:val="00D506AF"/>
    <w:rsid w:val="00D50707"/>
    <w:rsid w:val="00D51208"/>
    <w:rsid w:val="00D526C6"/>
    <w:rsid w:val="00D5322B"/>
    <w:rsid w:val="00D57DA4"/>
    <w:rsid w:val="00D60CE4"/>
    <w:rsid w:val="00D6261F"/>
    <w:rsid w:val="00D62F4B"/>
    <w:rsid w:val="00D679DF"/>
    <w:rsid w:val="00D71EA6"/>
    <w:rsid w:val="00D7366B"/>
    <w:rsid w:val="00D77DA7"/>
    <w:rsid w:val="00D80AF3"/>
    <w:rsid w:val="00D81AB9"/>
    <w:rsid w:val="00D82CA1"/>
    <w:rsid w:val="00D84ABC"/>
    <w:rsid w:val="00D85F53"/>
    <w:rsid w:val="00D9490F"/>
    <w:rsid w:val="00D9531F"/>
    <w:rsid w:val="00D97602"/>
    <w:rsid w:val="00DA00B8"/>
    <w:rsid w:val="00DA16BE"/>
    <w:rsid w:val="00DA2DDF"/>
    <w:rsid w:val="00DA2F86"/>
    <w:rsid w:val="00DA4315"/>
    <w:rsid w:val="00DA487C"/>
    <w:rsid w:val="00DA5302"/>
    <w:rsid w:val="00DA5C89"/>
    <w:rsid w:val="00DA759F"/>
    <w:rsid w:val="00DB0534"/>
    <w:rsid w:val="00DB0F3E"/>
    <w:rsid w:val="00DB1DB7"/>
    <w:rsid w:val="00DB1FC3"/>
    <w:rsid w:val="00DC47CE"/>
    <w:rsid w:val="00DC597F"/>
    <w:rsid w:val="00DC681D"/>
    <w:rsid w:val="00DC7283"/>
    <w:rsid w:val="00DC72C9"/>
    <w:rsid w:val="00DD1D17"/>
    <w:rsid w:val="00DD2690"/>
    <w:rsid w:val="00DD2880"/>
    <w:rsid w:val="00DD3D20"/>
    <w:rsid w:val="00DD3D8C"/>
    <w:rsid w:val="00DD5031"/>
    <w:rsid w:val="00DD660E"/>
    <w:rsid w:val="00DE0732"/>
    <w:rsid w:val="00DE3420"/>
    <w:rsid w:val="00DE3C6A"/>
    <w:rsid w:val="00DE458E"/>
    <w:rsid w:val="00DE4D42"/>
    <w:rsid w:val="00DE50E5"/>
    <w:rsid w:val="00DE53F3"/>
    <w:rsid w:val="00DF041C"/>
    <w:rsid w:val="00DF2DEE"/>
    <w:rsid w:val="00DF57F2"/>
    <w:rsid w:val="00DF5948"/>
    <w:rsid w:val="00DF5AB1"/>
    <w:rsid w:val="00DF6FF8"/>
    <w:rsid w:val="00E052BD"/>
    <w:rsid w:val="00E05573"/>
    <w:rsid w:val="00E05F62"/>
    <w:rsid w:val="00E10023"/>
    <w:rsid w:val="00E10582"/>
    <w:rsid w:val="00E106D5"/>
    <w:rsid w:val="00E13CFF"/>
    <w:rsid w:val="00E14B73"/>
    <w:rsid w:val="00E15A71"/>
    <w:rsid w:val="00E16797"/>
    <w:rsid w:val="00E20EC9"/>
    <w:rsid w:val="00E22EA5"/>
    <w:rsid w:val="00E235D0"/>
    <w:rsid w:val="00E243CC"/>
    <w:rsid w:val="00E243DD"/>
    <w:rsid w:val="00E31219"/>
    <w:rsid w:val="00E31E56"/>
    <w:rsid w:val="00E32353"/>
    <w:rsid w:val="00E32672"/>
    <w:rsid w:val="00E34AB3"/>
    <w:rsid w:val="00E37177"/>
    <w:rsid w:val="00E43CFC"/>
    <w:rsid w:val="00E4639B"/>
    <w:rsid w:val="00E47814"/>
    <w:rsid w:val="00E500F8"/>
    <w:rsid w:val="00E518A9"/>
    <w:rsid w:val="00E523E7"/>
    <w:rsid w:val="00E52822"/>
    <w:rsid w:val="00E53428"/>
    <w:rsid w:val="00E54F0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7E1"/>
    <w:rsid w:val="00E83F01"/>
    <w:rsid w:val="00E854A1"/>
    <w:rsid w:val="00E86DCE"/>
    <w:rsid w:val="00E873FA"/>
    <w:rsid w:val="00E9387D"/>
    <w:rsid w:val="00E95FDE"/>
    <w:rsid w:val="00E96C24"/>
    <w:rsid w:val="00EA10AC"/>
    <w:rsid w:val="00EA3FF3"/>
    <w:rsid w:val="00EA73D5"/>
    <w:rsid w:val="00EB30A8"/>
    <w:rsid w:val="00EB3E5F"/>
    <w:rsid w:val="00EB42F5"/>
    <w:rsid w:val="00EB6724"/>
    <w:rsid w:val="00EB71EA"/>
    <w:rsid w:val="00EB77D0"/>
    <w:rsid w:val="00EC10AD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F2E06"/>
    <w:rsid w:val="00EF4FF4"/>
    <w:rsid w:val="00EF74B9"/>
    <w:rsid w:val="00EF7653"/>
    <w:rsid w:val="00F0002C"/>
    <w:rsid w:val="00F05FF5"/>
    <w:rsid w:val="00F060F7"/>
    <w:rsid w:val="00F1008D"/>
    <w:rsid w:val="00F126EB"/>
    <w:rsid w:val="00F12933"/>
    <w:rsid w:val="00F163D6"/>
    <w:rsid w:val="00F175D5"/>
    <w:rsid w:val="00F22B94"/>
    <w:rsid w:val="00F24998"/>
    <w:rsid w:val="00F24D11"/>
    <w:rsid w:val="00F253F6"/>
    <w:rsid w:val="00F25450"/>
    <w:rsid w:val="00F263CF"/>
    <w:rsid w:val="00F3122D"/>
    <w:rsid w:val="00F322E8"/>
    <w:rsid w:val="00F34168"/>
    <w:rsid w:val="00F36AE2"/>
    <w:rsid w:val="00F36CCB"/>
    <w:rsid w:val="00F404D3"/>
    <w:rsid w:val="00F41E88"/>
    <w:rsid w:val="00F44163"/>
    <w:rsid w:val="00F4499C"/>
    <w:rsid w:val="00F46C0E"/>
    <w:rsid w:val="00F47849"/>
    <w:rsid w:val="00F509CF"/>
    <w:rsid w:val="00F51133"/>
    <w:rsid w:val="00F51EAD"/>
    <w:rsid w:val="00F5219A"/>
    <w:rsid w:val="00F531A6"/>
    <w:rsid w:val="00F548B2"/>
    <w:rsid w:val="00F5640E"/>
    <w:rsid w:val="00F56D28"/>
    <w:rsid w:val="00F56EC6"/>
    <w:rsid w:val="00F5780C"/>
    <w:rsid w:val="00F624D0"/>
    <w:rsid w:val="00F6291A"/>
    <w:rsid w:val="00F67B68"/>
    <w:rsid w:val="00F76632"/>
    <w:rsid w:val="00F809D2"/>
    <w:rsid w:val="00F8297A"/>
    <w:rsid w:val="00F84DFF"/>
    <w:rsid w:val="00F85F72"/>
    <w:rsid w:val="00F86036"/>
    <w:rsid w:val="00F87926"/>
    <w:rsid w:val="00F87C8F"/>
    <w:rsid w:val="00F87D14"/>
    <w:rsid w:val="00F9393E"/>
    <w:rsid w:val="00FA0971"/>
    <w:rsid w:val="00FA14E1"/>
    <w:rsid w:val="00FA28D6"/>
    <w:rsid w:val="00FA3374"/>
    <w:rsid w:val="00FA6BB3"/>
    <w:rsid w:val="00FA7632"/>
    <w:rsid w:val="00FB03E2"/>
    <w:rsid w:val="00FC0D2F"/>
    <w:rsid w:val="00FC1D15"/>
    <w:rsid w:val="00FC3716"/>
    <w:rsid w:val="00FC3E01"/>
    <w:rsid w:val="00FC3F4A"/>
    <w:rsid w:val="00FC78DD"/>
    <w:rsid w:val="00FC798E"/>
    <w:rsid w:val="00FD08E6"/>
    <w:rsid w:val="00FD61C1"/>
    <w:rsid w:val="00FD7AEA"/>
    <w:rsid w:val="00FE0916"/>
    <w:rsid w:val="00FE0EE6"/>
    <w:rsid w:val="00FE4209"/>
    <w:rsid w:val="00FE561F"/>
    <w:rsid w:val="00FF0947"/>
    <w:rsid w:val="00FF10AF"/>
    <w:rsid w:val="00FF2256"/>
    <w:rsid w:val="00FF22DB"/>
    <w:rsid w:val="00FF3FA0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99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3137</Words>
  <Characters>18827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Królak-Buzakowska Joanna</cp:lastModifiedBy>
  <cp:revision>3</cp:revision>
  <dcterms:created xsi:type="dcterms:W3CDTF">2023-04-04T09:00:00Z</dcterms:created>
  <dcterms:modified xsi:type="dcterms:W3CDTF">2023-04-04T09:20:00Z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374ae22bc6d953382e1589d06421047c8279ed8806a0db4837105d863575e961</vt:lpwstr>
  </property>
</Properties>
</file>